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DBAB1" w14:textId="6E0A799A" w:rsidR="00DC0857" w:rsidRDefault="0099007D" w:rsidP="0099007D">
      <w:pPr>
        <w:jc w:val="center"/>
        <w:rPr>
          <w:b/>
          <w:bCs/>
        </w:rPr>
      </w:pPr>
      <w:r>
        <w:rPr>
          <w:b/>
          <w:bCs/>
        </w:rPr>
        <w:t>Ausfüllhilfe</w:t>
      </w:r>
      <w:r w:rsidR="00532344">
        <w:rPr>
          <w:b/>
          <w:bCs/>
        </w:rPr>
        <w:t xml:space="preserve"> </w:t>
      </w:r>
      <w:r w:rsidR="004673E8">
        <w:rPr>
          <w:b/>
          <w:bCs/>
        </w:rPr>
        <w:t>zum Fragebogen der BNetzA zu den Wettbewerbsverhältnissen im Mobilfunkmarkt</w:t>
      </w:r>
    </w:p>
    <w:p w14:paraId="2B957865" w14:textId="77777777" w:rsidR="00F7385D" w:rsidRDefault="00F7385D" w:rsidP="00F7385D">
      <w:pPr>
        <w:rPr>
          <w:b/>
          <w:bCs/>
        </w:rPr>
      </w:pPr>
    </w:p>
    <w:p w14:paraId="4C8A4F9F" w14:textId="610A4E96" w:rsidR="00F7385D" w:rsidRDefault="00F7385D" w:rsidP="00F7385D">
      <w:pPr>
        <w:rPr>
          <w:b/>
          <w:bCs/>
        </w:rPr>
      </w:pPr>
      <w:r>
        <w:rPr>
          <w:b/>
          <w:bCs/>
        </w:rPr>
        <w:t>Zur besseren Verständlichkeit:</w:t>
      </w:r>
    </w:p>
    <w:p w14:paraId="357E8042" w14:textId="354BAADE" w:rsidR="00F7385D" w:rsidRDefault="00F7385D" w:rsidP="00F7385D">
      <w:pPr>
        <w:rPr>
          <w:b/>
          <w:bCs/>
        </w:rPr>
      </w:pPr>
      <w:r>
        <w:rPr>
          <w:b/>
          <w:bCs/>
        </w:rPr>
        <w:t xml:space="preserve">Die </w:t>
      </w:r>
      <w:r w:rsidRPr="00F7385D">
        <w:rPr>
          <w:b/>
          <w:bCs/>
          <w:highlight w:val="yellow"/>
        </w:rPr>
        <w:t>gelb</w:t>
      </w:r>
      <w:r>
        <w:rPr>
          <w:b/>
          <w:bCs/>
        </w:rPr>
        <w:t xml:space="preserve"> hinterlegten Ziffern müssen unternehmensindividuell ausgefüllt werden. Für </w:t>
      </w:r>
      <w:proofErr w:type="spellStart"/>
      <w:r>
        <w:rPr>
          <w:b/>
          <w:bCs/>
        </w:rPr>
        <w:t>einge</w:t>
      </w:r>
      <w:proofErr w:type="spellEnd"/>
      <w:r>
        <w:rPr>
          <w:b/>
          <w:bCs/>
        </w:rPr>
        <w:t xml:space="preserve"> Fragen haben wir dennoch Ausfüllvorschläge gemacht, die übernommen werden können.</w:t>
      </w:r>
    </w:p>
    <w:p w14:paraId="2FB0E1E5" w14:textId="0F38E8FE" w:rsidR="00F7385D" w:rsidRDefault="00F7385D" w:rsidP="00F7385D">
      <w:pPr>
        <w:rPr>
          <w:b/>
          <w:bCs/>
        </w:rPr>
      </w:pPr>
      <w:r>
        <w:rPr>
          <w:b/>
          <w:bCs/>
        </w:rPr>
        <w:t xml:space="preserve">Die </w:t>
      </w:r>
      <w:r w:rsidRPr="00F7385D">
        <w:rPr>
          <w:b/>
          <w:bCs/>
          <w:highlight w:val="green"/>
        </w:rPr>
        <w:t>grün</w:t>
      </w:r>
      <w:r>
        <w:rPr>
          <w:b/>
          <w:bCs/>
        </w:rPr>
        <w:t xml:space="preserve"> hinterlegten Ziffern haben wir Ausfüllvorschläge gemacht, die über</w:t>
      </w:r>
      <w:r w:rsidR="00153B00">
        <w:rPr>
          <w:b/>
          <w:bCs/>
        </w:rPr>
        <w:t>nommen</w:t>
      </w:r>
      <w:r>
        <w:rPr>
          <w:b/>
          <w:bCs/>
        </w:rPr>
        <w:t xml:space="preserve"> </w:t>
      </w:r>
      <w:r w:rsidR="00153B00">
        <w:rPr>
          <w:b/>
          <w:bCs/>
        </w:rPr>
        <w:t xml:space="preserve">werden </w:t>
      </w:r>
      <w:r>
        <w:rPr>
          <w:b/>
          <w:bCs/>
        </w:rPr>
        <w:t>können.</w:t>
      </w:r>
    </w:p>
    <w:p w14:paraId="1D1F8F99" w14:textId="343FC1B9" w:rsidR="00F7385D" w:rsidRPr="0099007D" w:rsidRDefault="00F7385D" w:rsidP="00F7385D">
      <w:pPr>
        <w:rPr>
          <w:b/>
          <w:bCs/>
        </w:rPr>
      </w:pPr>
      <w:r>
        <w:rPr>
          <w:b/>
          <w:bCs/>
        </w:rPr>
        <w:t xml:space="preserve">Die </w:t>
      </w:r>
      <w:r w:rsidRPr="00F7385D">
        <w:rPr>
          <w:b/>
          <w:bCs/>
          <w:highlight w:val="red"/>
        </w:rPr>
        <w:t>rot</w:t>
      </w:r>
      <w:r>
        <w:rPr>
          <w:b/>
          <w:bCs/>
        </w:rPr>
        <w:t xml:space="preserve"> hinterlegten Ziffern sind voraussichtlich von keinem BREKO-Mitgliedsunternehmen auszufüllen (bitte prüfen)</w:t>
      </w:r>
    </w:p>
    <w:p w14:paraId="6F14F4F1" w14:textId="77777777" w:rsidR="0099007D" w:rsidRDefault="0099007D"/>
    <w:p w14:paraId="341E1BE2" w14:textId="77777777" w:rsidR="0099007D" w:rsidRPr="0099007D" w:rsidRDefault="0099007D">
      <w:pPr>
        <w:rPr>
          <w:b/>
        </w:rPr>
      </w:pPr>
      <w:r w:rsidRPr="0099007D">
        <w:rPr>
          <w:b/>
        </w:rPr>
        <w:t xml:space="preserve">Tabellenblatt 1 („Unternehmensangaben“): </w:t>
      </w:r>
    </w:p>
    <w:p w14:paraId="328158C5" w14:textId="77777777" w:rsidR="0099007D" w:rsidRDefault="0099007D"/>
    <w:p w14:paraId="7FCD52F7" w14:textId="417AFB6E" w:rsidR="0099007D" w:rsidRDefault="0099007D" w:rsidP="0099007D">
      <w:pPr>
        <w:ind w:firstLine="708"/>
      </w:pPr>
      <w:r w:rsidRPr="00532344">
        <w:rPr>
          <w:b/>
          <w:highlight w:val="yellow"/>
        </w:rPr>
        <w:t>Ziffer: 1 – 1.5.4:</w:t>
      </w:r>
      <w:r w:rsidRPr="00532344">
        <w:rPr>
          <w:highlight w:val="yellow"/>
        </w:rPr>
        <w:t xml:space="preserve"> </w:t>
      </w:r>
      <w:r w:rsidR="001E5211" w:rsidRPr="00532344">
        <w:rPr>
          <w:highlight w:val="yellow"/>
        </w:rPr>
        <w:t>u</w:t>
      </w:r>
      <w:r w:rsidRPr="00532344">
        <w:rPr>
          <w:highlight w:val="yellow"/>
        </w:rPr>
        <w:t>nternehmensindividuell auszufüllen</w:t>
      </w:r>
    </w:p>
    <w:p w14:paraId="10608220" w14:textId="77777777" w:rsidR="0099007D" w:rsidRDefault="0099007D"/>
    <w:p w14:paraId="152FA44B" w14:textId="27375264" w:rsidR="0099007D" w:rsidRDefault="0099007D">
      <w:pPr>
        <w:rPr>
          <w:b/>
        </w:rPr>
      </w:pPr>
      <w:r w:rsidRPr="0099007D">
        <w:rPr>
          <w:b/>
        </w:rPr>
        <w:t xml:space="preserve">Tabellenblatt 2 („Vorleistungsmarkt“): </w:t>
      </w:r>
    </w:p>
    <w:p w14:paraId="22BB2F7B" w14:textId="77777777" w:rsidR="0099007D" w:rsidRDefault="0099007D">
      <w:pPr>
        <w:rPr>
          <w:b/>
        </w:rPr>
      </w:pPr>
    </w:p>
    <w:p w14:paraId="7D2E7E8E" w14:textId="1345034C" w:rsidR="0099007D" w:rsidRDefault="0099007D" w:rsidP="0099007D">
      <w:pPr>
        <w:ind w:firstLine="708"/>
      </w:pPr>
      <w:r w:rsidRPr="00917935">
        <w:rPr>
          <w:b/>
          <w:bCs/>
        </w:rPr>
        <w:t>Ziffer 2.1:</w:t>
      </w:r>
      <w:r w:rsidRPr="0099007D">
        <w:t xml:space="preserve"> </w:t>
      </w:r>
      <w:r w:rsidRPr="00F7385D">
        <w:rPr>
          <w:highlight w:val="yellow"/>
        </w:rPr>
        <w:t xml:space="preserve">Unternehmensindividuell auszufüllen, sofern Verträge mit </w:t>
      </w:r>
      <w:r w:rsidR="001E5211" w:rsidRPr="00F7385D">
        <w:rPr>
          <w:highlight w:val="yellow"/>
        </w:rPr>
        <w:t>Mobilfunknetzbetreibern</w:t>
      </w:r>
      <w:r w:rsidRPr="00F7385D">
        <w:rPr>
          <w:highlight w:val="yellow"/>
        </w:rPr>
        <w:t xml:space="preserve"> bestehen</w:t>
      </w:r>
    </w:p>
    <w:p w14:paraId="1EFDBA5F" w14:textId="6AD28492" w:rsidR="0099007D" w:rsidRPr="00917935" w:rsidRDefault="0099007D" w:rsidP="0099007D">
      <w:pPr>
        <w:ind w:firstLine="708"/>
        <w:rPr>
          <w:b/>
        </w:rPr>
      </w:pPr>
      <w:r w:rsidRPr="00917935">
        <w:rPr>
          <w:b/>
        </w:rPr>
        <w:t>Ziffer 2.3:</w:t>
      </w:r>
    </w:p>
    <w:p w14:paraId="68F433B7" w14:textId="6377589D" w:rsidR="0099007D" w:rsidRPr="00F7385D" w:rsidRDefault="0099007D" w:rsidP="0099007D">
      <w:pPr>
        <w:ind w:left="1416" w:firstLine="2"/>
        <w:rPr>
          <w:highlight w:val="green"/>
        </w:rPr>
      </w:pPr>
      <w:r w:rsidRPr="00F7385D">
        <w:rPr>
          <w:b/>
          <w:highlight w:val="green"/>
        </w:rPr>
        <w:t>Ziffer 2.3.1:</w:t>
      </w:r>
      <w:r w:rsidRPr="00F7385D">
        <w:rPr>
          <w:highlight w:val="green"/>
        </w:rPr>
        <w:t xml:space="preserve"> („</w:t>
      </w:r>
      <w:r w:rsidRPr="00F7385D">
        <w:rPr>
          <w:b/>
          <w:highlight w:val="green"/>
        </w:rPr>
        <w:t>Gibt es beim Angebot/Bezug von Vorleistungsprodukten Konditionen, die als einschränkend wahrgenommen werden?</w:t>
      </w:r>
      <w:r w:rsidRPr="00F7385D">
        <w:rPr>
          <w:highlight w:val="green"/>
        </w:rPr>
        <w:t>“)</w:t>
      </w:r>
    </w:p>
    <w:p w14:paraId="3E1FCF35" w14:textId="43766FDF" w:rsidR="0099007D" w:rsidRPr="00F7385D" w:rsidRDefault="0099007D" w:rsidP="0099007D">
      <w:pPr>
        <w:pStyle w:val="Listenabsatz"/>
        <w:numPr>
          <w:ilvl w:val="0"/>
          <w:numId w:val="3"/>
        </w:numPr>
        <w:rPr>
          <w:highlight w:val="green"/>
        </w:rPr>
      </w:pPr>
      <w:r w:rsidRPr="00F7385D">
        <w:rPr>
          <w:highlight w:val="green"/>
        </w:rPr>
        <w:t>„</w:t>
      </w:r>
      <w:r w:rsidRPr="00F7385D">
        <w:rPr>
          <w:b/>
          <w:highlight w:val="green"/>
        </w:rPr>
        <w:t>Verzögerter Zugang zu neuen Technologien</w:t>
      </w:r>
      <w:r w:rsidRPr="00F7385D">
        <w:rPr>
          <w:highlight w:val="green"/>
        </w:rPr>
        <w:t xml:space="preserve">“ -&gt; </w:t>
      </w:r>
      <w:r w:rsidRPr="00F7385D">
        <w:rPr>
          <w:b/>
          <w:highlight w:val="green"/>
        </w:rPr>
        <w:t>Ja</w:t>
      </w:r>
    </w:p>
    <w:p w14:paraId="231A2026" w14:textId="721D4C00" w:rsidR="0099007D" w:rsidRPr="00F7385D" w:rsidRDefault="0099007D" w:rsidP="0099007D">
      <w:pPr>
        <w:ind w:left="1778"/>
        <w:rPr>
          <w:highlight w:val="green"/>
        </w:rPr>
      </w:pPr>
      <w:r w:rsidRPr="00F7385D">
        <w:rPr>
          <w:highlight w:val="green"/>
        </w:rPr>
        <w:t>„Begründung“: Die Mobilfunknetzbetreiber verweigern Nachfragern bisher den Zugriff auf White Label Produkte mit aktuellen Mobilfunktechnologien, d.h. momentan 5G Stand Alone. Dies ist eine Praxis, die bereits bei der Einführung von 4G zu beobachten war.</w:t>
      </w:r>
      <w:r w:rsidR="00D85CCD" w:rsidRPr="00F7385D">
        <w:rPr>
          <w:highlight w:val="green"/>
        </w:rPr>
        <w:t xml:space="preserve"> Auch sogenannte </w:t>
      </w:r>
      <w:proofErr w:type="spellStart"/>
      <w:r w:rsidR="00D85CCD" w:rsidRPr="00F7385D">
        <w:rPr>
          <w:highlight w:val="green"/>
        </w:rPr>
        <w:t>Direct</w:t>
      </w:r>
      <w:proofErr w:type="spellEnd"/>
      <w:r w:rsidR="00D85CCD" w:rsidRPr="00F7385D">
        <w:rPr>
          <w:highlight w:val="green"/>
        </w:rPr>
        <w:t>-to-Device („D2D“) Produkte, bei denen Mobilfunktarife mit Satellitentelefonie gekoppelt werden, werden den Nachfragern vorenthalten.</w:t>
      </w:r>
    </w:p>
    <w:p w14:paraId="024CBC1B" w14:textId="6DA97920" w:rsidR="0099007D" w:rsidRPr="00F7385D" w:rsidRDefault="0099007D" w:rsidP="0099007D">
      <w:pPr>
        <w:pStyle w:val="Listenabsatz"/>
        <w:numPr>
          <w:ilvl w:val="0"/>
          <w:numId w:val="3"/>
        </w:numPr>
        <w:rPr>
          <w:highlight w:val="green"/>
        </w:rPr>
      </w:pPr>
      <w:r w:rsidRPr="00F7385D">
        <w:rPr>
          <w:highlight w:val="green"/>
        </w:rPr>
        <w:t>„</w:t>
      </w:r>
      <w:r w:rsidRPr="00F7385D">
        <w:rPr>
          <w:b/>
          <w:highlight w:val="green"/>
        </w:rPr>
        <w:t>Datenvolumen</w:t>
      </w:r>
      <w:r w:rsidRPr="00F7385D">
        <w:rPr>
          <w:highlight w:val="green"/>
        </w:rPr>
        <w:t xml:space="preserve">“ -&gt; </w:t>
      </w:r>
      <w:r w:rsidRPr="00F7385D">
        <w:rPr>
          <w:b/>
          <w:highlight w:val="green"/>
        </w:rPr>
        <w:t>Ja</w:t>
      </w:r>
    </w:p>
    <w:p w14:paraId="1078A164" w14:textId="7DC71A41" w:rsidR="0099007D" w:rsidRPr="00F7385D" w:rsidRDefault="0099007D" w:rsidP="0099007D">
      <w:pPr>
        <w:ind w:left="1778"/>
        <w:rPr>
          <w:highlight w:val="green"/>
        </w:rPr>
      </w:pPr>
      <w:r w:rsidRPr="00F7385D">
        <w:rPr>
          <w:highlight w:val="green"/>
        </w:rPr>
        <w:t xml:space="preserve">„Begründung“: Die Mobilfunknetzbetreiber verweigern Nachfragern bisher den Zugriff auf White Label Produkte mit echten Flatrates („Unlimited Tarife“). Überdies werden von den deutschen Mobilfunknetzbetreibern White Label Produkte regelmäßig nur mit Datenvolumina angeboten, die unterhalb der Datenvolumina der Mobilfunknetzbetreiber-eigenen Tarife liegen. Zudem </w:t>
      </w:r>
      <w:r w:rsidR="00D85CCD" w:rsidRPr="00F7385D">
        <w:rPr>
          <w:highlight w:val="green"/>
        </w:rPr>
        <w:t>werden bewusst Vorleistungstarife mit Datenvolumina angeboten, die von den Angeboten der Mobilfunknetzbetreiber-eigenen Tarife abweichen. Beispiel: ein Vorleistungsprodukt mit 10 GB Datenvolumen, wenn der Mobilfunknetzbetreiber selbst ein Produkt mit 12 GB Datenvolumen vermarktet. Dies dient offenbar dazu, die Vergleichbarkeit der Produkte für den Endkunden zu erschweren.</w:t>
      </w:r>
    </w:p>
    <w:p w14:paraId="7F8694CD" w14:textId="73B65D1C" w:rsidR="00D85CCD" w:rsidRPr="00F7385D" w:rsidRDefault="00D85CCD" w:rsidP="00D85CCD">
      <w:pPr>
        <w:pStyle w:val="Listenabsatz"/>
        <w:numPr>
          <w:ilvl w:val="0"/>
          <w:numId w:val="3"/>
        </w:numPr>
        <w:rPr>
          <w:highlight w:val="green"/>
        </w:rPr>
      </w:pPr>
      <w:r w:rsidRPr="00F7385D">
        <w:rPr>
          <w:highlight w:val="green"/>
        </w:rPr>
        <w:t>„</w:t>
      </w:r>
      <w:r w:rsidRPr="00F7385D">
        <w:rPr>
          <w:b/>
          <w:highlight w:val="green"/>
        </w:rPr>
        <w:t>Geschwindigkeiten</w:t>
      </w:r>
      <w:r w:rsidRPr="00F7385D">
        <w:rPr>
          <w:highlight w:val="green"/>
        </w:rPr>
        <w:t>“ -&gt;</w:t>
      </w:r>
      <w:r w:rsidRPr="00F7385D">
        <w:rPr>
          <w:b/>
          <w:bCs/>
          <w:highlight w:val="green"/>
        </w:rPr>
        <w:t xml:space="preserve"> Ja</w:t>
      </w:r>
    </w:p>
    <w:p w14:paraId="5A4B89E7" w14:textId="1FA5F5E7" w:rsidR="00D85CCD" w:rsidRDefault="00D85CCD" w:rsidP="00D85CCD">
      <w:pPr>
        <w:ind w:left="1778"/>
      </w:pPr>
      <w:r w:rsidRPr="00F7385D">
        <w:rPr>
          <w:highlight w:val="green"/>
        </w:rPr>
        <w:t xml:space="preserve">„Begründung“: Es ist gängige Praxis der Mobilfunknetzbetreiber, die White Label Vorleistungsprodukte der Nachfrager in der Bandbreite stark zu drosseln (bspw. auf 50 oder 100 Mbit/s), wohingegen die </w:t>
      </w:r>
      <w:r w:rsidRPr="00F7385D">
        <w:rPr>
          <w:highlight w:val="green"/>
        </w:rPr>
        <w:lastRenderedPageBreak/>
        <w:t xml:space="preserve">Mobilfunknetzbetreiber-eigenen Tarife in der Regel </w:t>
      </w:r>
      <w:proofErr w:type="spellStart"/>
      <w:r w:rsidRPr="00F7385D">
        <w:rPr>
          <w:highlight w:val="green"/>
        </w:rPr>
        <w:t>ungedrosselt</w:t>
      </w:r>
      <w:proofErr w:type="spellEnd"/>
      <w:r w:rsidRPr="00F7385D">
        <w:rPr>
          <w:highlight w:val="green"/>
        </w:rPr>
        <w:t xml:space="preserve"> angeboten werden. Zugriff auf </w:t>
      </w:r>
      <w:proofErr w:type="spellStart"/>
      <w:r w:rsidRPr="00F7385D">
        <w:rPr>
          <w:highlight w:val="green"/>
        </w:rPr>
        <w:t>ungedrosselte</w:t>
      </w:r>
      <w:proofErr w:type="spellEnd"/>
      <w:r w:rsidRPr="00F7385D">
        <w:rPr>
          <w:highlight w:val="green"/>
        </w:rPr>
        <w:t xml:space="preserve"> Vorleistungsprodukte gibt es entweder gar nicht oder nur in Verbindung mit weiteren vertraglichen Einschränkungen, wie der verpflichtenden Kennzeichnung als Mobilfunknetzbetreibertarif („Branding“) sowie der Zusage von Exklusivität.</w:t>
      </w:r>
    </w:p>
    <w:p w14:paraId="209703D7" w14:textId="4BD072D4" w:rsidR="0099007D" w:rsidRDefault="00D85CCD" w:rsidP="0099007D">
      <w:pPr>
        <w:ind w:firstLine="708"/>
      </w:pPr>
      <w:r w:rsidRPr="00F7385D">
        <w:rPr>
          <w:b/>
          <w:bCs/>
          <w:highlight w:val="yellow"/>
        </w:rPr>
        <w:t>Ziffer 2.4.1 – 2.4.8:</w:t>
      </w:r>
      <w:r w:rsidRPr="00F7385D">
        <w:rPr>
          <w:highlight w:val="yellow"/>
        </w:rPr>
        <w:t xml:space="preserve"> Unternehmensindividuell auszufüllen, sofern zutreffend</w:t>
      </w:r>
    </w:p>
    <w:p w14:paraId="4C1D8B46" w14:textId="21759A40" w:rsidR="00D85CCD" w:rsidRPr="00F7385D" w:rsidRDefault="00D85CCD" w:rsidP="00D85CCD">
      <w:pPr>
        <w:ind w:firstLine="708"/>
        <w:rPr>
          <w:highlight w:val="green"/>
        </w:rPr>
      </w:pPr>
      <w:r w:rsidRPr="00F7385D">
        <w:rPr>
          <w:b/>
          <w:highlight w:val="green"/>
        </w:rPr>
        <w:t>Zeile 209</w:t>
      </w:r>
      <w:r w:rsidRPr="00F7385D">
        <w:rPr>
          <w:highlight w:val="green"/>
        </w:rPr>
        <w:t xml:space="preserve"> („</w:t>
      </w:r>
      <w:r w:rsidRPr="00F7385D">
        <w:rPr>
          <w:b/>
          <w:highlight w:val="green"/>
        </w:rPr>
        <w:t>Weitere Anmerkungen zu den Angaben in Kapitel 2.4.</w:t>
      </w:r>
      <w:r w:rsidRPr="00F7385D">
        <w:rPr>
          <w:highlight w:val="green"/>
        </w:rPr>
        <w:t>“):</w:t>
      </w:r>
    </w:p>
    <w:p w14:paraId="41286784" w14:textId="6C417CA5" w:rsidR="00D85CCD" w:rsidRDefault="00D85CCD" w:rsidP="00D85CCD">
      <w:pPr>
        <w:ind w:left="708"/>
      </w:pPr>
      <w:r w:rsidRPr="00F7385D">
        <w:rPr>
          <w:highlight w:val="green"/>
        </w:rPr>
        <w:t>„Das Verhandlungsgebot hat sich unserer Einschätzung nach als nicht ausreichend erwiesen. Es sollte durch ein echtes Diskriminierungsverbot unter Einbeziehung des eigenen Vertriebs des Mobilfunknetzbetreibers verstärkt werden.“</w:t>
      </w:r>
    </w:p>
    <w:p w14:paraId="5378E9EB" w14:textId="77777777" w:rsidR="00917935" w:rsidRDefault="00D85CCD" w:rsidP="00917935">
      <w:pPr>
        <w:ind w:left="708"/>
      </w:pPr>
      <w:r w:rsidRPr="00F7385D">
        <w:rPr>
          <w:b/>
          <w:highlight w:val="yellow"/>
        </w:rPr>
        <w:t>Ziffer 2.5.1 – 2.</w:t>
      </w:r>
      <w:r w:rsidR="00917935" w:rsidRPr="00F7385D">
        <w:rPr>
          <w:b/>
          <w:highlight w:val="yellow"/>
        </w:rPr>
        <w:t>5.2.2.:</w:t>
      </w:r>
      <w:r w:rsidR="00917935" w:rsidRPr="00F7385D">
        <w:rPr>
          <w:highlight w:val="yellow"/>
        </w:rPr>
        <w:t xml:space="preserve"> Unternehmensindividuell auszufüllen, sofern Verträge mit MNO bestehen</w:t>
      </w:r>
    </w:p>
    <w:p w14:paraId="7D6B619F" w14:textId="01D30A19" w:rsidR="00917935" w:rsidRPr="00F7385D" w:rsidRDefault="00917935" w:rsidP="00917935">
      <w:pPr>
        <w:ind w:left="708"/>
        <w:rPr>
          <w:highlight w:val="green"/>
        </w:rPr>
      </w:pPr>
      <w:r w:rsidRPr="00F7385D">
        <w:rPr>
          <w:b/>
          <w:highlight w:val="green"/>
        </w:rPr>
        <w:t>Ziffer 2.5.3.1</w:t>
      </w:r>
      <w:r w:rsidRPr="00F7385D">
        <w:rPr>
          <w:highlight w:val="green"/>
        </w:rPr>
        <w:t>: („</w:t>
      </w:r>
      <w:r w:rsidRPr="00F7385D">
        <w:rPr>
          <w:b/>
          <w:highlight w:val="green"/>
        </w:rPr>
        <w:t>Gibt es üblicherweise Bestimmungen über den exklusiven Bezug von Mobilfunkvorleistungen in Vorleistungsverträgen?</w:t>
      </w:r>
      <w:r w:rsidRPr="00F7385D">
        <w:rPr>
          <w:highlight w:val="green"/>
        </w:rPr>
        <w:t xml:space="preserve">“) -&gt; </w:t>
      </w:r>
      <w:r w:rsidRPr="00F7385D">
        <w:rPr>
          <w:b/>
          <w:highlight w:val="green"/>
        </w:rPr>
        <w:t>Ja</w:t>
      </w:r>
    </w:p>
    <w:p w14:paraId="6B2024CB" w14:textId="317D8DB6" w:rsidR="00D85CCD" w:rsidRPr="00F7385D" w:rsidRDefault="00917935" w:rsidP="00D85CCD">
      <w:pPr>
        <w:ind w:left="708"/>
        <w:rPr>
          <w:highlight w:val="green"/>
        </w:rPr>
      </w:pPr>
      <w:r w:rsidRPr="00F7385D">
        <w:rPr>
          <w:b/>
          <w:highlight w:val="green"/>
        </w:rPr>
        <w:t>Ziffer 2.5.3.2:</w:t>
      </w:r>
      <w:r w:rsidRPr="00F7385D">
        <w:rPr>
          <w:highlight w:val="green"/>
        </w:rPr>
        <w:t xml:space="preserve"> („</w:t>
      </w:r>
      <w:r w:rsidRPr="00F7385D">
        <w:rPr>
          <w:b/>
          <w:highlight w:val="green"/>
        </w:rPr>
        <w:t>Falls ja, wie sind diese Exklusivitätsbestimmungen üblicherweise ausgestaltet, insbesondere in Bezug auf:</w:t>
      </w:r>
      <w:r w:rsidRPr="00F7385D">
        <w:rPr>
          <w:highlight w:val="green"/>
        </w:rPr>
        <w:t xml:space="preserve">“) </w:t>
      </w:r>
    </w:p>
    <w:p w14:paraId="2914CE54" w14:textId="567B3F79" w:rsidR="00917935" w:rsidRPr="00F7385D" w:rsidRDefault="00917935" w:rsidP="00917935">
      <w:pPr>
        <w:pStyle w:val="Listenabsatz"/>
        <w:numPr>
          <w:ilvl w:val="0"/>
          <w:numId w:val="3"/>
        </w:numPr>
        <w:rPr>
          <w:highlight w:val="green"/>
        </w:rPr>
      </w:pPr>
      <w:r w:rsidRPr="00F7385D">
        <w:rPr>
          <w:b/>
          <w:highlight w:val="green"/>
        </w:rPr>
        <w:t>Art:</w:t>
      </w:r>
      <w:r w:rsidRPr="00F7385D">
        <w:rPr>
          <w:highlight w:val="green"/>
        </w:rPr>
        <w:t xml:space="preserve"> „Unserer Erfahrung nach wird in der Regel sowohl der exklusive Vorleistungsbezug vertraglich verlangt oder über Haltequoten in Verbindung mit Vertragsstrafen de facto erzwungen. Auch </w:t>
      </w:r>
      <w:proofErr w:type="spellStart"/>
      <w:r w:rsidRPr="00F7385D">
        <w:rPr>
          <w:highlight w:val="green"/>
        </w:rPr>
        <w:t>Wholesale</w:t>
      </w:r>
      <w:proofErr w:type="spellEnd"/>
      <w:r w:rsidRPr="00F7385D">
        <w:rPr>
          <w:highlight w:val="green"/>
        </w:rPr>
        <w:t>-Verbote werden nach unserer Kenntnis von allen Mobilfunknetzbetreibern vorgeschrieben.</w:t>
      </w:r>
    </w:p>
    <w:p w14:paraId="76770CF0" w14:textId="6F02DC5D" w:rsidR="00917935" w:rsidRPr="00F7385D" w:rsidRDefault="00917935" w:rsidP="00917935">
      <w:pPr>
        <w:pStyle w:val="Listenabsatz"/>
        <w:numPr>
          <w:ilvl w:val="0"/>
          <w:numId w:val="3"/>
        </w:numPr>
        <w:rPr>
          <w:highlight w:val="yellow"/>
        </w:rPr>
      </w:pPr>
      <w:r w:rsidRPr="00F7385D">
        <w:rPr>
          <w:b/>
          <w:highlight w:val="yellow"/>
        </w:rPr>
        <w:t>Zeile 286:</w:t>
      </w:r>
      <w:r w:rsidRPr="00F7385D">
        <w:rPr>
          <w:highlight w:val="yellow"/>
        </w:rPr>
        <w:t xml:space="preserve"> („</w:t>
      </w:r>
      <w:r w:rsidRPr="00F7385D">
        <w:rPr>
          <w:b/>
          <w:highlight w:val="yellow"/>
        </w:rPr>
        <w:t>Dauer und Umfang“</w:t>
      </w:r>
      <w:r w:rsidRPr="00F7385D">
        <w:rPr>
          <w:highlight w:val="yellow"/>
        </w:rPr>
        <w:t>): Unternehmensindividuell auszufüllen, sofern Verträge mit MNO bestehen</w:t>
      </w:r>
    </w:p>
    <w:p w14:paraId="5E69A3EC" w14:textId="196ED299" w:rsidR="00917935" w:rsidRPr="00F7385D" w:rsidRDefault="00917935" w:rsidP="00917935">
      <w:pPr>
        <w:pStyle w:val="Listenabsatz"/>
        <w:numPr>
          <w:ilvl w:val="0"/>
          <w:numId w:val="3"/>
        </w:numPr>
        <w:rPr>
          <w:highlight w:val="yellow"/>
        </w:rPr>
      </w:pPr>
      <w:r w:rsidRPr="00F7385D">
        <w:rPr>
          <w:b/>
          <w:highlight w:val="yellow"/>
        </w:rPr>
        <w:t>Zeile 289:</w:t>
      </w:r>
      <w:r w:rsidRPr="00F7385D">
        <w:rPr>
          <w:highlight w:val="yellow"/>
        </w:rPr>
        <w:t xml:space="preserve"> („</w:t>
      </w:r>
      <w:r w:rsidRPr="00F7385D">
        <w:rPr>
          <w:b/>
          <w:highlight w:val="yellow"/>
        </w:rPr>
        <w:t>Nachvertragliche Verpflichtungen</w:t>
      </w:r>
      <w:r w:rsidRPr="00F7385D">
        <w:rPr>
          <w:highlight w:val="yellow"/>
        </w:rPr>
        <w:t>“): Unternehmensindividuell auszufüllen, sofern Verträge mit MNO bestehen</w:t>
      </w:r>
    </w:p>
    <w:p w14:paraId="3A775327" w14:textId="4B7B6BFB" w:rsidR="00917935" w:rsidRPr="00F7385D" w:rsidRDefault="00917935" w:rsidP="00917935">
      <w:pPr>
        <w:ind w:left="708"/>
        <w:rPr>
          <w:b/>
          <w:highlight w:val="green"/>
        </w:rPr>
      </w:pPr>
      <w:r w:rsidRPr="00F7385D">
        <w:rPr>
          <w:b/>
          <w:highlight w:val="green"/>
        </w:rPr>
        <w:t>Ziffer 2.5.3.3: („Gibt es üblicherweise Regelungen über den Umgang mit Endkundenbeständen bei Vertragsbeendigung?“) -&gt; Ja</w:t>
      </w:r>
    </w:p>
    <w:p w14:paraId="328563BF" w14:textId="78EB7E4A" w:rsidR="00917935" w:rsidRPr="00F7385D" w:rsidRDefault="00917935" w:rsidP="00917935">
      <w:pPr>
        <w:ind w:left="708"/>
        <w:rPr>
          <w:b/>
          <w:highlight w:val="green"/>
        </w:rPr>
      </w:pPr>
      <w:r w:rsidRPr="00F7385D">
        <w:rPr>
          <w:b/>
          <w:highlight w:val="green"/>
        </w:rPr>
        <w:t>Ziffer 2.5.3.4: („Falls Sie die vorige Frage mit ja beantwortet haben, wie sind diese Regelungen üblicherweise ausgestaltet in Bezug auf:“)</w:t>
      </w:r>
    </w:p>
    <w:p w14:paraId="3313B860" w14:textId="1837044D" w:rsidR="00841A2E" w:rsidRPr="00F7385D" w:rsidRDefault="00841A2E" w:rsidP="00841A2E">
      <w:pPr>
        <w:pStyle w:val="Listenabsatz"/>
        <w:numPr>
          <w:ilvl w:val="0"/>
          <w:numId w:val="3"/>
        </w:numPr>
        <w:rPr>
          <w:highlight w:val="green"/>
        </w:rPr>
      </w:pPr>
      <w:r w:rsidRPr="00F7385D">
        <w:rPr>
          <w:b/>
          <w:highlight w:val="green"/>
        </w:rPr>
        <w:t>„Art“: „</w:t>
      </w:r>
      <w:r w:rsidRPr="00F7385D">
        <w:rPr>
          <w:highlight w:val="green"/>
        </w:rPr>
        <w:t>Häufig sind solche Klauseln so ausgestaltet, dass der Mobilfunknetzbetreiber</w:t>
      </w:r>
      <w:r w:rsidRPr="00F7385D">
        <w:rPr>
          <w:b/>
          <w:highlight w:val="green"/>
        </w:rPr>
        <w:t xml:space="preserve"> </w:t>
      </w:r>
      <w:r w:rsidRPr="00F7385D">
        <w:rPr>
          <w:highlight w:val="green"/>
        </w:rPr>
        <w:t>im Falle einer Beendigung des Vorleistungsvertrages das Recht hat,</w:t>
      </w:r>
      <w:r w:rsidRPr="00F7385D">
        <w:rPr>
          <w:b/>
          <w:highlight w:val="green"/>
        </w:rPr>
        <w:t xml:space="preserve"> </w:t>
      </w:r>
      <w:r w:rsidRPr="00F7385D">
        <w:rPr>
          <w:highlight w:val="green"/>
        </w:rPr>
        <w:t>sämtliche Endkundenve</w:t>
      </w:r>
      <w:r w:rsidR="009E4662" w:rsidRPr="00F7385D">
        <w:rPr>
          <w:highlight w:val="green"/>
        </w:rPr>
        <w:t>r</w:t>
      </w:r>
      <w:r w:rsidRPr="00F7385D">
        <w:rPr>
          <w:highlight w:val="green"/>
        </w:rPr>
        <w:t>träge ohne weitere Zustimmung des Nachfragers zu übernehmen. In dem Fall, dass die Beendigung des Vorleistungsvertrages durch den Nachfrager veranlasst worden ist, besteht häufig das Recht der Mobilfunknetzbetreiber, die Endkundenverträge sogar ohne Abstandszahlung, d.h. entgeltfrei zu übernehmen.“</w:t>
      </w:r>
    </w:p>
    <w:p w14:paraId="6304F98E" w14:textId="6B41D419" w:rsidR="00841A2E" w:rsidRPr="00F7385D" w:rsidRDefault="00841A2E" w:rsidP="00841A2E">
      <w:pPr>
        <w:pStyle w:val="Listenabsatz"/>
        <w:numPr>
          <w:ilvl w:val="0"/>
          <w:numId w:val="3"/>
        </w:numPr>
        <w:rPr>
          <w:highlight w:val="green"/>
        </w:rPr>
      </w:pPr>
      <w:r w:rsidRPr="00F7385D">
        <w:rPr>
          <w:b/>
          <w:highlight w:val="green"/>
        </w:rPr>
        <w:t>„Umfang“</w:t>
      </w:r>
      <w:r w:rsidRPr="00F7385D">
        <w:rPr>
          <w:highlight w:val="green"/>
        </w:rPr>
        <w:t>: „</w:t>
      </w:r>
      <w:proofErr w:type="gramStart"/>
      <w:r w:rsidRPr="00F7385D">
        <w:rPr>
          <w:highlight w:val="green"/>
        </w:rPr>
        <w:t>Regelmäßig</w:t>
      </w:r>
      <w:proofErr w:type="gramEnd"/>
      <w:r w:rsidRPr="00F7385D">
        <w:rPr>
          <w:highlight w:val="green"/>
        </w:rPr>
        <w:t xml:space="preserve"> besteht das Recht des Mobilfunknetzbetreibers, sämtliche Endkundenverträge zu übernehmen.“</w:t>
      </w:r>
    </w:p>
    <w:p w14:paraId="2F9DD843" w14:textId="7AA7275C" w:rsidR="00841A2E" w:rsidRPr="00F7385D" w:rsidRDefault="00841A2E" w:rsidP="00841A2E">
      <w:pPr>
        <w:pStyle w:val="Listenabsatz"/>
        <w:numPr>
          <w:ilvl w:val="0"/>
          <w:numId w:val="3"/>
        </w:numPr>
        <w:rPr>
          <w:highlight w:val="green"/>
        </w:rPr>
      </w:pPr>
      <w:r w:rsidRPr="00F7385D">
        <w:rPr>
          <w:highlight w:val="green"/>
        </w:rPr>
        <w:t>„</w:t>
      </w:r>
      <w:r w:rsidRPr="00F7385D">
        <w:rPr>
          <w:b/>
          <w:highlight w:val="green"/>
        </w:rPr>
        <w:t>Dauer</w:t>
      </w:r>
      <w:r w:rsidRPr="00F7385D">
        <w:rPr>
          <w:highlight w:val="green"/>
        </w:rPr>
        <w:t>“: „unbeschränkt“</w:t>
      </w:r>
    </w:p>
    <w:p w14:paraId="382F38F2" w14:textId="61F3B2B9" w:rsidR="00841A2E" w:rsidRPr="00F7385D" w:rsidRDefault="00841A2E" w:rsidP="00841A2E">
      <w:pPr>
        <w:pStyle w:val="Listenabsatz"/>
        <w:numPr>
          <w:ilvl w:val="0"/>
          <w:numId w:val="3"/>
        </w:numPr>
        <w:rPr>
          <w:highlight w:val="green"/>
        </w:rPr>
      </w:pPr>
      <w:r w:rsidRPr="00F7385D">
        <w:rPr>
          <w:b/>
          <w:highlight w:val="green"/>
        </w:rPr>
        <w:t>Zeile 309 („Weiter[e] Anmerkungen zu den Angaben in Kapitel 2.5.3</w:t>
      </w:r>
      <w:r w:rsidRPr="00F7385D">
        <w:rPr>
          <w:highlight w:val="green"/>
        </w:rPr>
        <w:t>.</w:t>
      </w:r>
      <w:r w:rsidRPr="00F7385D">
        <w:rPr>
          <w:b/>
          <w:highlight w:val="green"/>
        </w:rPr>
        <w:t>“)</w:t>
      </w:r>
      <w:r w:rsidRPr="00F7385D">
        <w:rPr>
          <w:highlight w:val="green"/>
        </w:rPr>
        <w:t xml:space="preserve">: „Entsprechende Klauseln sind nach unserer Einschätzung stark wettbewerbsbeschränkend, da sie die von den Nachfragern von Mobilfunkvorleistungen mit eigenen Mitteln gewonnenen Endkunden zu einer Verfügungsmasse des Mobilfunknetzbetreibers machen und </w:t>
      </w:r>
      <w:r w:rsidRPr="00F7385D">
        <w:rPr>
          <w:highlight w:val="green"/>
        </w:rPr>
        <w:lastRenderedPageBreak/>
        <w:t>zugleich massiv in die Möglichkeiten der Nachfrager eingreifen, den eigenen Endkundenbestand als Asset in Verhandlungen mit anderen Mobilfunknetzbetreibern einzubringen.“</w:t>
      </w:r>
    </w:p>
    <w:p w14:paraId="21BA6BE0" w14:textId="35B61177" w:rsidR="00841A2E" w:rsidRDefault="00841A2E" w:rsidP="00EF5E32">
      <w:pPr>
        <w:ind w:left="708"/>
      </w:pPr>
      <w:r w:rsidRPr="00F7385D">
        <w:rPr>
          <w:b/>
          <w:highlight w:val="green"/>
        </w:rPr>
        <w:t>Ziffer 2.6.1:</w:t>
      </w:r>
      <w:r w:rsidRPr="00F7385D">
        <w:rPr>
          <w:highlight w:val="green"/>
        </w:rPr>
        <w:t xml:space="preserve"> („</w:t>
      </w:r>
      <w:r w:rsidRPr="00F7385D">
        <w:rPr>
          <w:b/>
          <w:highlight w:val="green"/>
        </w:rPr>
        <w:t xml:space="preserve">Welche Aspekte des Zugangs zu nationalem Roaming </w:t>
      </w:r>
      <w:proofErr w:type="gramStart"/>
      <w:r w:rsidRPr="00F7385D">
        <w:rPr>
          <w:b/>
          <w:highlight w:val="green"/>
        </w:rPr>
        <w:t>sind</w:t>
      </w:r>
      <w:proofErr w:type="gramEnd"/>
      <w:r w:rsidRPr="00F7385D">
        <w:rPr>
          <w:b/>
          <w:highlight w:val="green"/>
        </w:rPr>
        <w:t xml:space="preserve"> relevant für eine Beurteilung der Wettbewerbsverhältnisse?</w:t>
      </w:r>
      <w:r w:rsidRPr="00F7385D">
        <w:rPr>
          <w:highlight w:val="green"/>
        </w:rPr>
        <w:t xml:space="preserve">“): „Höchst relevant sind insbesondere etwaige dem National Roaming-Nachfrager auferlegte </w:t>
      </w:r>
      <w:proofErr w:type="spellStart"/>
      <w:r w:rsidRPr="00F7385D">
        <w:rPr>
          <w:highlight w:val="green"/>
        </w:rPr>
        <w:t>Wholesale</w:t>
      </w:r>
      <w:proofErr w:type="spellEnd"/>
      <w:r w:rsidRPr="00F7385D">
        <w:rPr>
          <w:highlight w:val="green"/>
        </w:rPr>
        <w:t xml:space="preserve">-Verbote, da diese </w:t>
      </w:r>
      <w:r w:rsidR="00EF5E32" w:rsidRPr="00F7385D">
        <w:rPr>
          <w:highlight w:val="green"/>
        </w:rPr>
        <w:t>v</w:t>
      </w:r>
      <w:r w:rsidRPr="00F7385D">
        <w:rPr>
          <w:highlight w:val="green"/>
        </w:rPr>
        <w:t xml:space="preserve">erhindern, dass der National Roaming-Nachfrager seine Netzauslastung durch Diensteanbieter und MVNOs erhöht und damit langfristig in den Wettbewerb zu den etablierten Mobilfunknetzbetreibern treten kann. Negative Anreize in Bezug auf den Ausbau des eigenen Netzes des National Roaming-Nachfragers wären durch eine Streichung eines solchen </w:t>
      </w:r>
      <w:proofErr w:type="spellStart"/>
      <w:r w:rsidRPr="00F7385D">
        <w:rPr>
          <w:highlight w:val="green"/>
        </w:rPr>
        <w:t>Wholesale</w:t>
      </w:r>
      <w:proofErr w:type="spellEnd"/>
      <w:r w:rsidRPr="00F7385D">
        <w:rPr>
          <w:highlight w:val="green"/>
        </w:rPr>
        <w:t xml:space="preserve">-Verbotes nicht zu erwarten, da die Bundesnetzagentur </w:t>
      </w:r>
      <w:r w:rsidR="00EF5E32" w:rsidRPr="00F7385D">
        <w:rPr>
          <w:highlight w:val="green"/>
        </w:rPr>
        <w:t>die Ausbauanreize für einen Neueinsteiger ohnehin durch Ausbauverpflichtungen absichert.“</w:t>
      </w:r>
    </w:p>
    <w:p w14:paraId="47B27B97" w14:textId="3A15EC08" w:rsidR="00EF5E32" w:rsidRDefault="00EF5E32" w:rsidP="00EF5E32">
      <w:pPr>
        <w:ind w:left="708"/>
      </w:pPr>
      <w:r w:rsidRPr="00F7385D">
        <w:rPr>
          <w:b/>
          <w:highlight w:val="yellow"/>
        </w:rPr>
        <w:t>Zeile 320:</w:t>
      </w:r>
      <w:r w:rsidRPr="00F7385D">
        <w:rPr>
          <w:highlight w:val="yellow"/>
        </w:rPr>
        <w:t xml:space="preserve"> Unternehmensindividuell auszufüllen, sofern zutreffend</w:t>
      </w:r>
    </w:p>
    <w:p w14:paraId="607BBBB7" w14:textId="77777777" w:rsidR="00EF5E32" w:rsidRDefault="00EF5E32" w:rsidP="00EF5E32">
      <w:pPr>
        <w:ind w:left="708"/>
      </w:pPr>
    </w:p>
    <w:p w14:paraId="16D128BC" w14:textId="5B0E1848" w:rsidR="00EF5E32" w:rsidRDefault="00EF5E32" w:rsidP="00EF5E32">
      <w:pPr>
        <w:ind w:left="708"/>
      </w:pPr>
      <w:r w:rsidRPr="00F7385D">
        <w:rPr>
          <w:b/>
          <w:highlight w:val="red"/>
        </w:rPr>
        <w:t>Tabellenblatt 2.2.1 („Rohstoff-Modell“)</w:t>
      </w:r>
      <w:r w:rsidRPr="00F7385D">
        <w:rPr>
          <w:highlight w:val="red"/>
        </w:rPr>
        <w:t>: Voraussichtlich von keinem Mitgliedsunternehmen auszufüllen, da regelmäßig im „Retail-Minus-Modell“ eingekauft werden dürfte.</w:t>
      </w:r>
    </w:p>
    <w:p w14:paraId="43DDCAA2" w14:textId="77777777" w:rsidR="00EF5E32" w:rsidRDefault="00EF5E32" w:rsidP="00EF5E32">
      <w:pPr>
        <w:ind w:left="708"/>
      </w:pPr>
    </w:p>
    <w:p w14:paraId="3A4FF374" w14:textId="14E6D44A" w:rsidR="00EF5E32" w:rsidRDefault="00EF5E32" w:rsidP="00EF5E32">
      <w:pPr>
        <w:ind w:left="708"/>
      </w:pPr>
      <w:r w:rsidRPr="00F7385D">
        <w:rPr>
          <w:b/>
          <w:highlight w:val="yellow"/>
        </w:rPr>
        <w:t>Tabellenblatt 2.2.1 („Retail-Minus-Modell“)</w:t>
      </w:r>
      <w:r w:rsidRPr="00F7385D">
        <w:rPr>
          <w:highlight w:val="yellow"/>
        </w:rPr>
        <w:t>: Unternehmensindividuell auszufüllen, sofern zutreffend</w:t>
      </w:r>
    </w:p>
    <w:p w14:paraId="7BA663A4" w14:textId="77777777" w:rsidR="00EF5E32" w:rsidRDefault="00EF5E32" w:rsidP="00EF5E32">
      <w:pPr>
        <w:ind w:left="708"/>
      </w:pPr>
    </w:p>
    <w:p w14:paraId="5455784D" w14:textId="2CAD6DA3" w:rsidR="00EF5E32" w:rsidRDefault="00EF5E32" w:rsidP="00EF5E32">
      <w:pPr>
        <w:ind w:left="708"/>
        <w:rPr>
          <w:b/>
        </w:rPr>
      </w:pPr>
      <w:r w:rsidRPr="00EF5E32">
        <w:rPr>
          <w:b/>
        </w:rPr>
        <w:t>Tabellenblatt 3 („Endkundenmarkt“)</w:t>
      </w:r>
    </w:p>
    <w:p w14:paraId="32D3EDE2" w14:textId="50B2ABAD" w:rsidR="00EF5E32" w:rsidRDefault="00EF5E32" w:rsidP="00EF5E32">
      <w:pPr>
        <w:ind w:left="708"/>
      </w:pPr>
      <w:r w:rsidRPr="00F7385D">
        <w:rPr>
          <w:b/>
          <w:bCs/>
          <w:highlight w:val="red"/>
        </w:rPr>
        <w:t>Ziffer 3.1.1 – 3.1.1.2:</w:t>
      </w:r>
      <w:r w:rsidRPr="00F7385D">
        <w:rPr>
          <w:highlight w:val="red"/>
        </w:rPr>
        <w:t xml:space="preserve"> Nur von Mobilfunknetzbetreibern auszufüllen</w:t>
      </w:r>
    </w:p>
    <w:p w14:paraId="16615D7F" w14:textId="39401B89" w:rsidR="00EF5E32" w:rsidRDefault="00EF5E32" w:rsidP="00EF5E32">
      <w:pPr>
        <w:ind w:left="708"/>
      </w:pPr>
      <w:r w:rsidRPr="00F7385D">
        <w:rPr>
          <w:b/>
          <w:bCs/>
          <w:highlight w:val="yellow"/>
        </w:rPr>
        <w:t>Ziffer 3.1.3 – 3.1.4.2:</w:t>
      </w:r>
      <w:r w:rsidRPr="00F7385D">
        <w:rPr>
          <w:highlight w:val="yellow"/>
        </w:rPr>
        <w:t xml:space="preserve"> Unternehmensindividuell auszufüllen, sofern zutreffend</w:t>
      </w:r>
    </w:p>
    <w:p w14:paraId="4BE121D9" w14:textId="068139F1" w:rsidR="00903C83" w:rsidRPr="00F7385D" w:rsidRDefault="00903C83" w:rsidP="00903C83">
      <w:pPr>
        <w:ind w:left="708"/>
        <w:rPr>
          <w:highlight w:val="yellow"/>
        </w:rPr>
      </w:pPr>
      <w:r w:rsidRPr="00F7385D">
        <w:rPr>
          <w:b/>
          <w:highlight w:val="yellow"/>
        </w:rPr>
        <w:t xml:space="preserve">Ziffer 3.1.5.1.1 („Mobilfunkprodukte für Privatkunden:“): </w:t>
      </w:r>
      <w:r w:rsidRPr="00F7385D">
        <w:rPr>
          <w:highlight w:val="yellow"/>
        </w:rPr>
        <w:t>grundsätzlich</w:t>
      </w:r>
      <w:r w:rsidRPr="00F7385D">
        <w:rPr>
          <w:b/>
          <w:highlight w:val="yellow"/>
        </w:rPr>
        <w:t xml:space="preserve"> </w:t>
      </w:r>
      <w:r w:rsidRPr="00F7385D">
        <w:rPr>
          <w:highlight w:val="yellow"/>
        </w:rPr>
        <w:t xml:space="preserve">Unternehmensindividuell auszufüllen, allerdings spricht nach Erfahrung des BREKO viel dafür, dass die Mitgliedsunternehmen nicht in der Lage sind, wettbewerbsfähige Produkte auf dem Privatkundenmarkt anzubieten. Sollte das bei Ihnen ebenfalls der Fall sein, würde sich eine Bewertung in </w:t>
      </w:r>
      <w:r w:rsidRPr="00F7385D">
        <w:rPr>
          <w:b/>
          <w:highlight w:val="yellow"/>
        </w:rPr>
        <w:t>Zeile 194</w:t>
      </w:r>
      <w:r w:rsidRPr="00F7385D">
        <w:rPr>
          <w:highlight w:val="yellow"/>
        </w:rPr>
        <w:t xml:space="preserve"> mit „1“ empfehlen. In diesem Fall könnte die Begründung in </w:t>
      </w:r>
      <w:r w:rsidRPr="00F7385D">
        <w:rPr>
          <w:b/>
          <w:highlight w:val="yellow"/>
        </w:rPr>
        <w:t>Zeile 196</w:t>
      </w:r>
      <w:r w:rsidRPr="00F7385D">
        <w:rPr>
          <w:highlight w:val="yellow"/>
        </w:rPr>
        <w:t xml:space="preserve"> wie folgt lauten:</w:t>
      </w:r>
    </w:p>
    <w:p w14:paraId="580A5DDC" w14:textId="69CEB47B" w:rsidR="00903C83" w:rsidRDefault="00903C83" w:rsidP="00903C83">
      <w:pPr>
        <w:ind w:left="708"/>
      </w:pPr>
      <w:r w:rsidRPr="00F7385D">
        <w:rPr>
          <w:highlight w:val="yellow"/>
        </w:rPr>
        <w:t xml:space="preserve">„Wie oben dargestellt, bestehen zahlreiche Diskriminierungen (insbesondere Vorenthaltung von Technologien, Preis-Kosten-Scheren, Bandbreitenbeschränkungen, </w:t>
      </w:r>
      <w:proofErr w:type="spellStart"/>
      <w:r w:rsidRPr="00F7385D">
        <w:rPr>
          <w:highlight w:val="yellow"/>
        </w:rPr>
        <w:t>Wholesale</w:t>
      </w:r>
      <w:proofErr w:type="spellEnd"/>
      <w:r w:rsidRPr="00F7385D">
        <w:rPr>
          <w:highlight w:val="yellow"/>
        </w:rPr>
        <w:t>-Verbote, Migrationspflichten) im Mobilfunkmarkt, die es den Nachfragern nicht erlauben, auf dem Privatkundenmarkt in effektiven Wettbewerb mit den Mobilfunknetzbetreibern zu treten. Dies gilt für alle Marktsegmente, insbesondere aber für den Midrange und Premium-Bereich. Gerade das Segment der Premium-Produkte wird von den Mobilfunknetzbetreibern abgeschottet.“</w:t>
      </w:r>
    </w:p>
    <w:p w14:paraId="18C14FCA" w14:textId="77777777" w:rsidR="00903C83" w:rsidRDefault="00903C83" w:rsidP="00903C83">
      <w:pPr>
        <w:ind w:left="708"/>
      </w:pPr>
    </w:p>
    <w:p w14:paraId="015D4327" w14:textId="17BB2DDB" w:rsidR="00903C83" w:rsidRPr="00F7385D" w:rsidRDefault="00903C83" w:rsidP="00903C83">
      <w:pPr>
        <w:ind w:left="708"/>
        <w:rPr>
          <w:highlight w:val="yellow"/>
        </w:rPr>
      </w:pPr>
      <w:r w:rsidRPr="00F7385D">
        <w:rPr>
          <w:b/>
          <w:highlight w:val="yellow"/>
        </w:rPr>
        <w:t>Ziffer 3.1.5.1.2</w:t>
      </w:r>
      <w:r w:rsidRPr="00F7385D">
        <w:rPr>
          <w:highlight w:val="yellow"/>
        </w:rPr>
        <w:t xml:space="preserve"> („</w:t>
      </w:r>
      <w:r w:rsidRPr="00F7385D">
        <w:rPr>
          <w:b/>
          <w:highlight w:val="yellow"/>
        </w:rPr>
        <w:t>Mobilfunkprodukte für Privatkunden als Teil eines Bündels mit einem Festnetz-Anschluss</w:t>
      </w:r>
      <w:r w:rsidRPr="00F7385D">
        <w:rPr>
          <w:highlight w:val="yellow"/>
        </w:rPr>
        <w:t>“): grundsätzlich</w:t>
      </w:r>
      <w:r w:rsidRPr="00F7385D">
        <w:rPr>
          <w:b/>
          <w:highlight w:val="yellow"/>
        </w:rPr>
        <w:t xml:space="preserve"> </w:t>
      </w:r>
      <w:r w:rsidRPr="00F7385D">
        <w:rPr>
          <w:highlight w:val="yellow"/>
        </w:rPr>
        <w:t xml:space="preserve">Unternehmensindividuell auszufüllen, allerdings spricht nach Erfahrung des BREKO viel dafür, dass die Mitgliedsunternehmen nicht in der Lage sind, wettbewerbsfähige Bündelprodukte auf dem Privatkundenmarkt anzubieten. Sollte das bei Ihnen ebenfalls der Fall sein, würde sich eine Bewertung in </w:t>
      </w:r>
      <w:r w:rsidRPr="00F7385D">
        <w:rPr>
          <w:b/>
          <w:highlight w:val="yellow"/>
        </w:rPr>
        <w:t>Zeile 205</w:t>
      </w:r>
      <w:r w:rsidRPr="00F7385D">
        <w:rPr>
          <w:highlight w:val="yellow"/>
        </w:rPr>
        <w:t xml:space="preserve"> mit „1“ empfehlen. In diesem Fall könnte die Begründung in </w:t>
      </w:r>
      <w:r w:rsidRPr="00F7385D">
        <w:rPr>
          <w:b/>
          <w:highlight w:val="yellow"/>
        </w:rPr>
        <w:t>Zeile 207</w:t>
      </w:r>
      <w:r w:rsidRPr="00F7385D">
        <w:rPr>
          <w:highlight w:val="yellow"/>
        </w:rPr>
        <w:t xml:space="preserve"> wie folgt lauten:</w:t>
      </w:r>
    </w:p>
    <w:p w14:paraId="122E0827" w14:textId="0E2BDE7F" w:rsidR="00903C83" w:rsidRDefault="00903C83" w:rsidP="00EF5E32">
      <w:pPr>
        <w:ind w:left="708"/>
      </w:pPr>
      <w:r w:rsidRPr="00F7385D">
        <w:rPr>
          <w:b/>
          <w:highlight w:val="yellow"/>
        </w:rPr>
        <w:lastRenderedPageBreak/>
        <w:t>„</w:t>
      </w:r>
      <w:r w:rsidRPr="00F7385D">
        <w:rPr>
          <w:highlight w:val="yellow"/>
        </w:rPr>
        <w:t>Die deutschen Mobilfunknetzbetreiber gewähren Nachfragern nach unserer Erfahrung keine</w:t>
      </w:r>
      <w:r w:rsidRPr="00F7385D">
        <w:rPr>
          <w:b/>
          <w:highlight w:val="yellow"/>
        </w:rPr>
        <w:t xml:space="preserve"> </w:t>
      </w:r>
      <w:r w:rsidRPr="00F7385D">
        <w:rPr>
          <w:highlight w:val="yellow"/>
        </w:rPr>
        <w:t>tauglichen Vorleistungsprodukte, die einem Nachfrager das Angebot wettbewerbsfähiger Bündelprodukte ermöglichen.“</w:t>
      </w:r>
    </w:p>
    <w:p w14:paraId="51237170" w14:textId="77777777" w:rsidR="00903C83" w:rsidRDefault="00903C83" w:rsidP="00EF5E32">
      <w:pPr>
        <w:ind w:left="708"/>
      </w:pPr>
    </w:p>
    <w:p w14:paraId="3FB4E5AD" w14:textId="1783A561" w:rsidR="00903C83" w:rsidRPr="00F7385D" w:rsidRDefault="00903C83" w:rsidP="00903C83">
      <w:pPr>
        <w:ind w:left="708"/>
        <w:rPr>
          <w:highlight w:val="yellow"/>
        </w:rPr>
      </w:pPr>
      <w:r w:rsidRPr="00F7385D">
        <w:rPr>
          <w:b/>
          <w:highlight w:val="yellow"/>
        </w:rPr>
        <w:t>Ziffer 3.1.5.1.3</w:t>
      </w:r>
      <w:r w:rsidRPr="00F7385D">
        <w:rPr>
          <w:highlight w:val="yellow"/>
        </w:rPr>
        <w:t xml:space="preserve"> („</w:t>
      </w:r>
      <w:r w:rsidRPr="00F7385D">
        <w:rPr>
          <w:b/>
          <w:highlight w:val="yellow"/>
        </w:rPr>
        <w:t>Fixed-Mobile-</w:t>
      </w:r>
      <w:proofErr w:type="spellStart"/>
      <w:r w:rsidRPr="00F7385D">
        <w:rPr>
          <w:b/>
          <w:highlight w:val="yellow"/>
        </w:rPr>
        <w:t>Convergence</w:t>
      </w:r>
      <w:proofErr w:type="spellEnd"/>
      <w:r w:rsidRPr="00F7385D">
        <w:rPr>
          <w:b/>
          <w:highlight w:val="yellow"/>
        </w:rPr>
        <w:t>-Produkte für Privatkunden, in denen die Versorgung mit Mobilfunk vornehmlich der Erhöhung der Ausfallsicherheit bzw. der Erhöhung der Kapazität dient</w:t>
      </w:r>
      <w:r w:rsidRPr="00F7385D">
        <w:rPr>
          <w:highlight w:val="yellow"/>
        </w:rPr>
        <w:t>“): grundsätzlich</w:t>
      </w:r>
      <w:r w:rsidRPr="00F7385D">
        <w:rPr>
          <w:b/>
          <w:highlight w:val="yellow"/>
        </w:rPr>
        <w:t xml:space="preserve"> </w:t>
      </w:r>
      <w:r w:rsidRPr="00F7385D">
        <w:rPr>
          <w:highlight w:val="yellow"/>
        </w:rPr>
        <w:t>Unternehmensindividuell auszufüllen, allerdings bieten die Mobilfunknetzbetreiber nach Kenntnis des BREKO Nachfragern prinzipiell keine Vorleistungen für Fixed-Mobile-</w:t>
      </w:r>
      <w:proofErr w:type="spellStart"/>
      <w:r w:rsidRPr="00F7385D">
        <w:rPr>
          <w:highlight w:val="yellow"/>
        </w:rPr>
        <w:t>Convergence</w:t>
      </w:r>
      <w:proofErr w:type="spellEnd"/>
      <w:r w:rsidRPr="00F7385D">
        <w:rPr>
          <w:highlight w:val="yellow"/>
        </w:rPr>
        <w:t xml:space="preserve">-Produkte an. Sollte das bei Ihnen ebenfalls der Fall sein, würde sich eine Bewertung in </w:t>
      </w:r>
      <w:r w:rsidRPr="00F7385D">
        <w:rPr>
          <w:b/>
          <w:highlight w:val="yellow"/>
        </w:rPr>
        <w:t>Zeile 217</w:t>
      </w:r>
      <w:r w:rsidRPr="00F7385D">
        <w:rPr>
          <w:highlight w:val="yellow"/>
        </w:rPr>
        <w:t xml:space="preserve"> mit „1“ empfehlen. In diesem Fall könnte die Begründung in </w:t>
      </w:r>
      <w:r w:rsidRPr="00F7385D">
        <w:rPr>
          <w:b/>
          <w:highlight w:val="yellow"/>
        </w:rPr>
        <w:t>Zeile 219</w:t>
      </w:r>
      <w:r w:rsidRPr="00F7385D">
        <w:rPr>
          <w:highlight w:val="yellow"/>
        </w:rPr>
        <w:t xml:space="preserve"> wie folgt lauten:</w:t>
      </w:r>
    </w:p>
    <w:p w14:paraId="19DBECC0" w14:textId="40CA417C" w:rsidR="00903C83" w:rsidRDefault="00903C83" w:rsidP="00903C83">
      <w:pPr>
        <w:ind w:left="708"/>
      </w:pPr>
      <w:r w:rsidRPr="00F7385D">
        <w:rPr>
          <w:b/>
          <w:highlight w:val="yellow"/>
        </w:rPr>
        <w:t>„</w:t>
      </w:r>
      <w:r w:rsidRPr="00F7385D">
        <w:rPr>
          <w:highlight w:val="yellow"/>
        </w:rPr>
        <w:t>Die deutschen Mobilfunknetzbetreiber gewähren Nachfragern nach unserer Erfahrung keine</w:t>
      </w:r>
      <w:r w:rsidRPr="00F7385D">
        <w:rPr>
          <w:b/>
          <w:highlight w:val="yellow"/>
        </w:rPr>
        <w:t xml:space="preserve"> </w:t>
      </w:r>
      <w:r w:rsidRPr="00F7385D">
        <w:rPr>
          <w:highlight w:val="yellow"/>
        </w:rPr>
        <w:t>Vorleistungsprodukte, mit denen Nachfrager Privat- oder Geschäftskunden Fixed-Mobile-</w:t>
      </w:r>
      <w:proofErr w:type="spellStart"/>
      <w:r w:rsidRPr="00F7385D">
        <w:rPr>
          <w:highlight w:val="yellow"/>
        </w:rPr>
        <w:t>Covergence</w:t>
      </w:r>
      <w:proofErr w:type="spellEnd"/>
      <w:r w:rsidRPr="00F7385D">
        <w:rPr>
          <w:highlight w:val="yellow"/>
        </w:rPr>
        <w:t>-Produkte anbieten könnten.“</w:t>
      </w:r>
    </w:p>
    <w:p w14:paraId="2DA7D06A" w14:textId="77777777" w:rsidR="00412FA2" w:rsidRDefault="00412FA2" w:rsidP="00903C83">
      <w:pPr>
        <w:ind w:left="708"/>
      </w:pPr>
    </w:p>
    <w:p w14:paraId="231E6287" w14:textId="77777777" w:rsidR="00412FA2" w:rsidRDefault="00412FA2" w:rsidP="00903C83">
      <w:pPr>
        <w:ind w:left="708"/>
      </w:pPr>
    </w:p>
    <w:p w14:paraId="2706E747" w14:textId="1E3C03D1" w:rsidR="00412FA2" w:rsidRPr="00F7385D" w:rsidRDefault="00412FA2" w:rsidP="00412FA2">
      <w:pPr>
        <w:ind w:left="708"/>
        <w:rPr>
          <w:highlight w:val="yellow"/>
        </w:rPr>
      </w:pPr>
      <w:r w:rsidRPr="00F7385D">
        <w:rPr>
          <w:b/>
          <w:highlight w:val="yellow"/>
        </w:rPr>
        <w:t xml:space="preserve">Ziffer 3.1.5.1.4 („Mobilfunkprodukte für Geschäftskunden:“): </w:t>
      </w:r>
      <w:r w:rsidRPr="00F7385D">
        <w:rPr>
          <w:highlight w:val="yellow"/>
        </w:rPr>
        <w:t>grundsätzlich</w:t>
      </w:r>
      <w:r w:rsidRPr="00F7385D">
        <w:rPr>
          <w:b/>
          <w:highlight w:val="yellow"/>
        </w:rPr>
        <w:t xml:space="preserve"> </w:t>
      </w:r>
      <w:r w:rsidRPr="00F7385D">
        <w:rPr>
          <w:highlight w:val="yellow"/>
        </w:rPr>
        <w:t xml:space="preserve">Unternehmensindividuell auszufüllen, allerdings spricht nach Erfahrung des BREKO viel dafür, dass die Mitgliedsunternehmen nicht in der Lage sind, wettbewerbsfähige Produkte auf dem Geschäftskundenmarkt anzubieten. Sollte das bei Ihnen ebenfalls der Fall sein, würde sich eine Bewertung in </w:t>
      </w:r>
      <w:r w:rsidRPr="00F7385D">
        <w:rPr>
          <w:b/>
          <w:highlight w:val="yellow"/>
        </w:rPr>
        <w:t>Zeile 228</w:t>
      </w:r>
      <w:r w:rsidRPr="00F7385D">
        <w:rPr>
          <w:highlight w:val="yellow"/>
        </w:rPr>
        <w:t xml:space="preserve"> mit „1“ empfehlen. In diesem Fall könnte die Begründung in </w:t>
      </w:r>
      <w:r w:rsidRPr="00F7385D">
        <w:rPr>
          <w:b/>
          <w:highlight w:val="yellow"/>
        </w:rPr>
        <w:t>Zeile 230</w:t>
      </w:r>
      <w:r w:rsidRPr="00F7385D">
        <w:rPr>
          <w:highlight w:val="yellow"/>
        </w:rPr>
        <w:t xml:space="preserve"> wie folgt lauten:</w:t>
      </w:r>
    </w:p>
    <w:p w14:paraId="4EE3518E" w14:textId="2C58CD69" w:rsidR="00412FA2" w:rsidRDefault="00412FA2" w:rsidP="00412FA2">
      <w:pPr>
        <w:ind w:left="708"/>
      </w:pPr>
      <w:r w:rsidRPr="00F7385D">
        <w:rPr>
          <w:highlight w:val="yellow"/>
        </w:rPr>
        <w:t xml:space="preserve">„Wie oben dargestellt, bestehen zahlreiche Diskriminierungen (insbesondere Vorenthaltung von Technologien, Preis-Kosten-Scheren, Bandbreitenbeschränkungen, </w:t>
      </w:r>
      <w:proofErr w:type="spellStart"/>
      <w:r w:rsidRPr="00F7385D">
        <w:rPr>
          <w:highlight w:val="yellow"/>
        </w:rPr>
        <w:t>Wholesale</w:t>
      </w:r>
      <w:proofErr w:type="spellEnd"/>
      <w:r w:rsidRPr="00F7385D">
        <w:rPr>
          <w:highlight w:val="yellow"/>
        </w:rPr>
        <w:t xml:space="preserve">-Verbote, Migrationspflichten) im Mobilfunkmarkt, die es den Nachfragern nicht erlauben, auf dem Geschäftskundenmarkt in effektiven Wettbewerb mit den Mobilfunknetzbetreibern zu treten. Dies gilt für alle Marktsegmente, insbesondere aber für den Midrange und Premium-Bereich. Gerade das Segment der Premium-Produkte wird von den Mobilfunknetzbetreibern abgeschottet. Das Geschäftskundensegment wird sich zudem nach unserer Kenntnis praktisch </w:t>
      </w:r>
      <w:proofErr w:type="gramStart"/>
      <w:r w:rsidRPr="00F7385D">
        <w:rPr>
          <w:highlight w:val="yellow"/>
        </w:rPr>
        <w:t>alleine</w:t>
      </w:r>
      <w:proofErr w:type="gramEnd"/>
      <w:r w:rsidRPr="00F7385D">
        <w:rPr>
          <w:highlight w:val="yellow"/>
        </w:rPr>
        <w:t xml:space="preserve"> zwischen Telekom und Vodafone aufgeteilt.“</w:t>
      </w:r>
    </w:p>
    <w:p w14:paraId="070F67DC" w14:textId="77777777" w:rsidR="00412FA2" w:rsidRDefault="00412FA2" w:rsidP="00412FA2">
      <w:pPr>
        <w:ind w:left="708"/>
      </w:pPr>
    </w:p>
    <w:p w14:paraId="06578BCC" w14:textId="77777777" w:rsidR="00412FA2" w:rsidRDefault="00412FA2" w:rsidP="00412FA2">
      <w:pPr>
        <w:ind w:left="708"/>
      </w:pPr>
    </w:p>
    <w:p w14:paraId="2E9A96A7" w14:textId="7AB73E42" w:rsidR="00412FA2" w:rsidRPr="00F7385D" w:rsidRDefault="00412FA2" w:rsidP="00412FA2">
      <w:pPr>
        <w:ind w:left="708"/>
        <w:rPr>
          <w:highlight w:val="yellow"/>
        </w:rPr>
      </w:pPr>
      <w:r w:rsidRPr="00F7385D">
        <w:rPr>
          <w:b/>
          <w:highlight w:val="yellow"/>
        </w:rPr>
        <w:t>Ziffer 3.1.5.1.5</w:t>
      </w:r>
      <w:r w:rsidRPr="00F7385D">
        <w:rPr>
          <w:highlight w:val="yellow"/>
        </w:rPr>
        <w:t xml:space="preserve"> („</w:t>
      </w:r>
      <w:r w:rsidRPr="00F7385D">
        <w:rPr>
          <w:b/>
          <w:highlight w:val="yellow"/>
        </w:rPr>
        <w:t>Mobilfunkprodukte für Geschäftskunden als Teil eines Bündels mit einem Festnetz-Anschluss</w:t>
      </w:r>
      <w:r w:rsidRPr="00F7385D">
        <w:rPr>
          <w:highlight w:val="yellow"/>
        </w:rPr>
        <w:t>“): grundsätzlich</w:t>
      </w:r>
      <w:r w:rsidRPr="00F7385D">
        <w:rPr>
          <w:b/>
          <w:highlight w:val="yellow"/>
        </w:rPr>
        <w:t xml:space="preserve"> </w:t>
      </w:r>
      <w:r w:rsidRPr="00F7385D">
        <w:rPr>
          <w:highlight w:val="yellow"/>
        </w:rPr>
        <w:t xml:space="preserve">Unternehmensindividuell auszufüllen, allerdings spricht nach Erfahrung des BREKO viel dafür, dass die Mitgliedsunternehmen nicht in der Lage sind, wettbewerbsfähige Bündelprodukte auf dem Geschäftskundenmarkt anzubieten. Sollte das bei Ihnen ebenfalls der Fall sein, würde sich eine Bewertung in </w:t>
      </w:r>
      <w:r w:rsidRPr="00F7385D">
        <w:rPr>
          <w:b/>
          <w:highlight w:val="yellow"/>
        </w:rPr>
        <w:t>Zeile 239</w:t>
      </w:r>
      <w:r w:rsidRPr="00F7385D">
        <w:rPr>
          <w:highlight w:val="yellow"/>
        </w:rPr>
        <w:t xml:space="preserve"> mit „1“ empfehlen. In diesem Fall könnte die Begründung in </w:t>
      </w:r>
      <w:r w:rsidRPr="00F7385D">
        <w:rPr>
          <w:b/>
          <w:highlight w:val="yellow"/>
        </w:rPr>
        <w:t>Zeile 241</w:t>
      </w:r>
      <w:r w:rsidRPr="00F7385D">
        <w:rPr>
          <w:highlight w:val="yellow"/>
        </w:rPr>
        <w:t xml:space="preserve"> wie folgt lauten:</w:t>
      </w:r>
    </w:p>
    <w:p w14:paraId="7B925C7B" w14:textId="77777777" w:rsidR="00412FA2" w:rsidRDefault="00412FA2" w:rsidP="00412FA2">
      <w:pPr>
        <w:ind w:left="708"/>
      </w:pPr>
      <w:r w:rsidRPr="00F7385D">
        <w:rPr>
          <w:b/>
          <w:highlight w:val="yellow"/>
        </w:rPr>
        <w:t>„</w:t>
      </w:r>
      <w:r w:rsidRPr="00F7385D">
        <w:rPr>
          <w:highlight w:val="yellow"/>
        </w:rPr>
        <w:t>Die deutschen Mobilfunknetzbetreiber gewähren Nachfragern nach unserer Erfahrung keine</w:t>
      </w:r>
      <w:r w:rsidRPr="00F7385D">
        <w:rPr>
          <w:b/>
          <w:highlight w:val="yellow"/>
        </w:rPr>
        <w:t xml:space="preserve"> </w:t>
      </w:r>
      <w:r w:rsidRPr="00F7385D">
        <w:rPr>
          <w:highlight w:val="yellow"/>
        </w:rPr>
        <w:t>tauglichen Vorleistungsprodukte, die einem Nachfrager das Angebot wettbewerbsfähiger Bündelprodukte ermöglichen.“</w:t>
      </w:r>
    </w:p>
    <w:p w14:paraId="3A1F1846" w14:textId="77777777" w:rsidR="00412FA2" w:rsidRDefault="00412FA2" w:rsidP="00412FA2">
      <w:pPr>
        <w:ind w:left="708"/>
      </w:pPr>
    </w:p>
    <w:p w14:paraId="664A9682" w14:textId="77777777" w:rsidR="00412FA2" w:rsidRDefault="00412FA2" w:rsidP="00412FA2">
      <w:pPr>
        <w:ind w:left="708"/>
      </w:pPr>
    </w:p>
    <w:p w14:paraId="3DFA63A6" w14:textId="12BDE70B" w:rsidR="00412FA2" w:rsidRPr="00F7385D" w:rsidRDefault="00412FA2" w:rsidP="00412FA2">
      <w:pPr>
        <w:ind w:left="708"/>
        <w:rPr>
          <w:highlight w:val="yellow"/>
        </w:rPr>
      </w:pPr>
      <w:r w:rsidRPr="00F7385D">
        <w:rPr>
          <w:b/>
          <w:highlight w:val="yellow"/>
        </w:rPr>
        <w:lastRenderedPageBreak/>
        <w:t>Ziffer 3.1.5.1.6</w:t>
      </w:r>
      <w:r w:rsidRPr="00F7385D">
        <w:rPr>
          <w:highlight w:val="yellow"/>
        </w:rPr>
        <w:t xml:space="preserve"> („</w:t>
      </w:r>
      <w:r w:rsidRPr="00F7385D">
        <w:rPr>
          <w:b/>
          <w:highlight w:val="yellow"/>
        </w:rPr>
        <w:t>Fixed-Mobile-</w:t>
      </w:r>
      <w:proofErr w:type="spellStart"/>
      <w:r w:rsidRPr="00F7385D">
        <w:rPr>
          <w:b/>
          <w:highlight w:val="yellow"/>
        </w:rPr>
        <w:t>Convergence</w:t>
      </w:r>
      <w:proofErr w:type="spellEnd"/>
      <w:r w:rsidRPr="00F7385D">
        <w:rPr>
          <w:b/>
          <w:highlight w:val="yellow"/>
        </w:rPr>
        <w:t>-Produkte für Geschäftskunden, in denen die Versorgung mit Mobilfunk vornehmlich der Erhöhung der Ausfallsicherheit bzw. der Erhöhung der Kapazität dient</w:t>
      </w:r>
      <w:r w:rsidRPr="00F7385D">
        <w:rPr>
          <w:highlight w:val="yellow"/>
        </w:rPr>
        <w:t>“): grundsätzlich</w:t>
      </w:r>
      <w:r w:rsidRPr="00F7385D">
        <w:rPr>
          <w:b/>
          <w:highlight w:val="yellow"/>
        </w:rPr>
        <w:t xml:space="preserve"> </w:t>
      </w:r>
      <w:r w:rsidRPr="00F7385D">
        <w:rPr>
          <w:highlight w:val="yellow"/>
        </w:rPr>
        <w:t>Unternehmensindividuell auszufüllen, allerdings bieten die Mobilfunknetzbetreiber nach Kenntnis des BREKO Nachfragern prinzipiell keine Vorleistungen für Fixed-Mobile-</w:t>
      </w:r>
      <w:proofErr w:type="spellStart"/>
      <w:r w:rsidRPr="00F7385D">
        <w:rPr>
          <w:highlight w:val="yellow"/>
        </w:rPr>
        <w:t>Convergence</w:t>
      </w:r>
      <w:proofErr w:type="spellEnd"/>
      <w:r w:rsidRPr="00F7385D">
        <w:rPr>
          <w:highlight w:val="yellow"/>
        </w:rPr>
        <w:t xml:space="preserve">-Produkte an. Sollte das bei Ihnen ebenfalls der Fall sein, würde sich eine Bewertung in </w:t>
      </w:r>
      <w:r w:rsidRPr="00F7385D">
        <w:rPr>
          <w:b/>
          <w:highlight w:val="yellow"/>
        </w:rPr>
        <w:t>Zeile 251</w:t>
      </w:r>
      <w:r w:rsidRPr="00F7385D">
        <w:rPr>
          <w:highlight w:val="yellow"/>
        </w:rPr>
        <w:t xml:space="preserve"> mit „1“ empfehlen. In diesem Fall könnte die Begründung in </w:t>
      </w:r>
      <w:r w:rsidRPr="00F7385D">
        <w:rPr>
          <w:b/>
          <w:highlight w:val="yellow"/>
        </w:rPr>
        <w:t>Zeile 253</w:t>
      </w:r>
      <w:r w:rsidRPr="00F7385D">
        <w:rPr>
          <w:highlight w:val="yellow"/>
        </w:rPr>
        <w:t xml:space="preserve"> wie folgt lauten:</w:t>
      </w:r>
    </w:p>
    <w:p w14:paraId="49CDAA40" w14:textId="77777777" w:rsidR="00412FA2" w:rsidRPr="00F7385D" w:rsidRDefault="00412FA2" w:rsidP="00412FA2">
      <w:pPr>
        <w:ind w:left="708"/>
        <w:rPr>
          <w:highlight w:val="yellow"/>
        </w:rPr>
      </w:pPr>
      <w:r w:rsidRPr="00F7385D">
        <w:rPr>
          <w:b/>
          <w:highlight w:val="yellow"/>
        </w:rPr>
        <w:t>„</w:t>
      </w:r>
      <w:r w:rsidRPr="00F7385D">
        <w:rPr>
          <w:highlight w:val="yellow"/>
        </w:rPr>
        <w:t>Die deutschen Mobilfunknetzbetreiber gewähren Nachfragern nach unserer Erfahrung keine</w:t>
      </w:r>
      <w:r w:rsidRPr="00F7385D">
        <w:rPr>
          <w:b/>
          <w:highlight w:val="yellow"/>
        </w:rPr>
        <w:t xml:space="preserve"> </w:t>
      </w:r>
      <w:r w:rsidRPr="00F7385D">
        <w:rPr>
          <w:highlight w:val="yellow"/>
        </w:rPr>
        <w:t>Vorleistungsprodukte, mit denen Nachfrager Privat- oder Geschäftskunden Fixed-Mobile-</w:t>
      </w:r>
      <w:proofErr w:type="spellStart"/>
      <w:r w:rsidRPr="00F7385D">
        <w:rPr>
          <w:highlight w:val="yellow"/>
        </w:rPr>
        <w:t>Covergence</w:t>
      </w:r>
      <w:proofErr w:type="spellEnd"/>
      <w:r w:rsidRPr="00F7385D">
        <w:rPr>
          <w:highlight w:val="yellow"/>
        </w:rPr>
        <w:t>-Produkte anbieten könnten.“</w:t>
      </w:r>
    </w:p>
    <w:p w14:paraId="0BBE225D" w14:textId="77777777" w:rsidR="00903C83" w:rsidRPr="00F7385D" w:rsidRDefault="00903C83" w:rsidP="00EF5E32">
      <w:pPr>
        <w:ind w:left="708"/>
        <w:rPr>
          <w:b/>
          <w:highlight w:val="green"/>
        </w:rPr>
      </w:pPr>
    </w:p>
    <w:p w14:paraId="06CFB040" w14:textId="71F901EF" w:rsidR="00412FA2" w:rsidRDefault="00412FA2" w:rsidP="00412FA2">
      <w:pPr>
        <w:ind w:left="708"/>
      </w:pPr>
      <w:r w:rsidRPr="00F7385D">
        <w:rPr>
          <w:b/>
          <w:highlight w:val="green"/>
        </w:rPr>
        <w:t>Ziffer 3.1.5.1.7</w:t>
      </w:r>
      <w:r w:rsidRPr="00F7385D">
        <w:rPr>
          <w:highlight w:val="green"/>
        </w:rPr>
        <w:t xml:space="preserve"> („</w:t>
      </w:r>
      <w:r w:rsidRPr="00F7385D">
        <w:rPr>
          <w:b/>
          <w:highlight w:val="green"/>
        </w:rPr>
        <w:t>Sonstige</w:t>
      </w:r>
      <w:r w:rsidRPr="00F7385D">
        <w:rPr>
          <w:highlight w:val="green"/>
        </w:rPr>
        <w:t>“): „Es bestehen erhebliche Diskriminierungen auf Vorleistungsebene, die Nachfragern das Angebot wettbewerbsfähiger Produkte faktisch unmöglich machen.“</w:t>
      </w:r>
    </w:p>
    <w:p w14:paraId="4C0BB47E" w14:textId="77777777" w:rsidR="00412FA2" w:rsidRDefault="00412FA2" w:rsidP="00412FA2">
      <w:pPr>
        <w:ind w:left="708"/>
      </w:pPr>
    </w:p>
    <w:p w14:paraId="53B1A7BD" w14:textId="0E715D20" w:rsidR="00412FA2" w:rsidRPr="00F7385D" w:rsidRDefault="00412FA2" w:rsidP="00412FA2">
      <w:pPr>
        <w:ind w:left="708"/>
        <w:rPr>
          <w:highlight w:val="yellow"/>
        </w:rPr>
      </w:pPr>
      <w:r w:rsidRPr="00F7385D">
        <w:rPr>
          <w:b/>
          <w:bCs/>
          <w:highlight w:val="yellow"/>
        </w:rPr>
        <w:t>Ziffer 3.2.1 – 3.2.2:</w:t>
      </w:r>
      <w:r w:rsidRPr="00F7385D">
        <w:rPr>
          <w:highlight w:val="yellow"/>
        </w:rPr>
        <w:t xml:space="preserve"> Unternehmensindividuell auszufüllen, sofern zutreffend</w:t>
      </w:r>
    </w:p>
    <w:p w14:paraId="5327FD2F" w14:textId="77777777" w:rsidR="00412FA2" w:rsidRPr="00F7385D" w:rsidRDefault="00412FA2" w:rsidP="00412FA2">
      <w:pPr>
        <w:ind w:left="708"/>
        <w:rPr>
          <w:highlight w:val="yellow"/>
        </w:rPr>
      </w:pPr>
    </w:p>
    <w:p w14:paraId="7355A6E6" w14:textId="5F069A73" w:rsidR="00412FA2" w:rsidRPr="00F7385D" w:rsidRDefault="00412FA2" w:rsidP="00412FA2">
      <w:pPr>
        <w:ind w:left="708"/>
        <w:rPr>
          <w:highlight w:val="yellow"/>
        </w:rPr>
      </w:pPr>
      <w:r w:rsidRPr="00F7385D">
        <w:rPr>
          <w:b/>
          <w:highlight w:val="yellow"/>
        </w:rPr>
        <w:t xml:space="preserve">Tabellenblatt 3.2.1. („Dateneingabe“): </w:t>
      </w:r>
      <w:r w:rsidRPr="00F7385D">
        <w:rPr>
          <w:highlight w:val="yellow"/>
        </w:rPr>
        <w:t>Unternehmensindividuell auszufüllen, sofern zutreffend</w:t>
      </w:r>
    </w:p>
    <w:p w14:paraId="7ACCDC67" w14:textId="77777777" w:rsidR="00412FA2" w:rsidRPr="00F7385D" w:rsidRDefault="00412FA2" w:rsidP="00412FA2">
      <w:pPr>
        <w:ind w:left="708"/>
        <w:rPr>
          <w:highlight w:val="yellow"/>
        </w:rPr>
      </w:pPr>
    </w:p>
    <w:p w14:paraId="24596E05" w14:textId="110CCD53" w:rsidR="00412FA2" w:rsidRDefault="00412FA2" w:rsidP="00412FA2">
      <w:pPr>
        <w:ind w:left="708"/>
      </w:pPr>
      <w:r w:rsidRPr="00F7385D">
        <w:rPr>
          <w:b/>
          <w:highlight w:val="yellow"/>
        </w:rPr>
        <w:t xml:space="preserve">Tabellenblatt 3.2.2. („Dateneingabe“): </w:t>
      </w:r>
      <w:r w:rsidRPr="00F7385D">
        <w:rPr>
          <w:highlight w:val="yellow"/>
        </w:rPr>
        <w:t>Unternehmensindividuell auszufüllen, sofern zutreffend</w:t>
      </w:r>
    </w:p>
    <w:p w14:paraId="68F56C6D" w14:textId="77777777" w:rsidR="00412FA2" w:rsidRDefault="00412FA2" w:rsidP="00412FA2">
      <w:pPr>
        <w:ind w:left="708"/>
        <w:rPr>
          <w:b/>
        </w:rPr>
      </w:pPr>
    </w:p>
    <w:p w14:paraId="01374831" w14:textId="069D4062" w:rsidR="00412FA2" w:rsidRDefault="00412FA2" w:rsidP="00412FA2">
      <w:pPr>
        <w:ind w:left="708"/>
        <w:rPr>
          <w:b/>
        </w:rPr>
      </w:pPr>
      <w:r w:rsidRPr="00EF5E32">
        <w:rPr>
          <w:b/>
        </w:rPr>
        <w:t xml:space="preserve">Tabellenblatt </w:t>
      </w:r>
      <w:r>
        <w:rPr>
          <w:b/>
        </w:rPr>
        <w:t>4</w:t>
      </w:r>
      <w:r w:rsidRPr="00EF5E32">
        <w:rPr>
          <w:b/>
        </w:rPr>
        <w:t xml:space="preserve"> („</w:t>
      </w:r>
      <w:r>
        <w:rPr>
          <w:b/>
        </w:rPr>
        <w:t>Sonstiges</w:t>
      </w:r>
      <w:r w:rsidRPr="00EF5E32">
        <w:rPr>
          <w:b/>
        </w:rPr>
        <w:t>“)</w:t>
      </w:r>
      <w:r>
        <w:rPr>
          <w:b/>
        </w:rPr>
        <w:t xml:space="preserve">: </w:t>
      </w:r>
    </w:p>
    <w:p w14:paraId="10886FA1" w14:textId="77777777" w:rsidR="00412FA2" w:rsidRDefault="00412FA2" w:rsidP="00412FA2">
      <w:pPr>
        <w:ind w:left="708"/>
        <w:rPr>
          <w:b/>
        </w:rPr>
      </w:pPr>
    </w:p>
    <w:p w14:paraId="73C5F11C" w14:textId="5D6D2B11" w:rsidR="00412FA2" w:rsidRPr="00F7385D" w:rsidRDefault="00412FA2" w:rsidP="00412FA2">
      <w:pPr>
        <w:ind w:left="708"/>
        <w:rPr>
          <w:b/>
          <w:highlight w:val="green"/>
        </w:rPr>
      </w:pPr>
      <w:r w:rsidRPr="00F7385D">
        <w:rPr>
          <w:b/>
          <w:highlight w:val="green"/>
        </w:rPr>
        <w:t>Ziffer 4.1.1. („Wie schätzen Sie die Wettbewerbssituation auf dem mobilen Breitbandmarkt ein und welche Kennzeichen untermauern Ihre Einschätzung?“):</w:t>
      </w:r>
    </w:p>
    <w:p w14:paraId="44BD33E8" w14:textId="77777777" w:rsidR="00412FA2" w:rsidRPr="00F7385D" w:rsidRDefault="00412FA2" w:rsidP="00412FA2">
      <w:pPr>
        <w:ind w:left="708"/>
        <w:rPr>
          <w:b/>
          <w:highlight w:val="green"/>
        </w:rPr>
      </w:pPr>
    </w:p>
    <w:p w14:paraId="3E9BE3BD" w14:textId="6036128A" w:rsidR="00412FA2" w:rsidRPr="00F7385D" w:rsidRDefault="00412FA2" w:rsidP="00412FA2">
      <w:pPr>
        <w:ind w:left="708"/>
        <w:rPr>
          <w:highlight w:val="green"/>
        </w:rPr>
      </w:pPr>
      <w:r w:rsidRPr="00F7385D">
        <w:rPr>
          <w:highlight w:val="green"/>
        </w:rPr>
        <w:t>„Wir schätzen die Wettbewerbssituation auf dem mobilen Breitbandmarkt als kritisch ein. Wie zuvor beschrieben, bestehen zahlreiche Diskriminierungen und andere Wettbewerbsbeschränkungen, die Nachfragern das Angebot wettbewerbsfähiger Endkundenprodukte unmöglich machen. Die bisherige Regulierung hierzu reicht offensichtlich nicht aus und muss deutlich verstärkt werden.</w:t>
      </w:r>
    </w:p>
    <w:p w14:paraId="556480E7" w14:textId="77777777" w:rsidR="00412FA2" w:rsidRPr="00F7385D" w:rsidRDefault="00412FA2" w:rsidP="00412FA2">
      <w:pPr>
        <w:ind w:left="708"/>
        <w:rPr>
          <w:highlight w:val="green"/>
        </w:rPr>
      </w:pPr>
    </w:p>
    <w:p w14:paraId="467793C5" w14:textId="61052A62" w:rsidR="00412FA2" w:rsidRDefault="00412FA2" w:rsidP="00412FA2">
      <w:pPr>
        <w:ind w:left="708"/>
      </w:pPr>
      <w:r w:rsidRPr="00F7385D">
        <w:rPr>
          <w:highlight w:val="green"/>
        </w:rPr>
        <w:t xml:space="preserve">Ersichtlich wird dies insbesondere an dem geringen Marktanteil unabhängiger </w:t>
      </w:r>
      <w:proofErr w:type="spellStart"/>
      <w:r w:rsidRPr="00F7385D">
        <w:rPr>
          <w:highlight w:val="green"/>
        </w:rPr>
        <w:t>Mobilfunkdiensteanbieter</w:t>
      </w:r>
      <w:proofErr w:type="spellEnd"/>
      <w:r w:rsidRPr="00F7385D">
        <w:rPr>
          <w:highlight w:val="green"/>
        </w:rPr>
        <w:t xml:space="preserve"> und MVNO, die abgesehen von Freenet schon seit Jahren auf einen gemeinsamen Marktanteil von unter einem Prozent kommen. Gäbe es wirksamen Vorleistungswettbewerb auf dem deutschen Mobilfunkmarkt, hätten </w:t>
      </w:r>
      <w:proofErr w:type="gramStart"/>
      <w:r w:rsidRPr="00F7385D">
        <w:rPr>
          <w:highlight w:val="green"/>
        </w:rPr>
        <w:t>neben der Freenet</w:t>
      </w:r>
      <w:proofErr w:type="gramEnd"/>
      <w:r w:rsidRPr="00F7385D">
        <w:rPr>
          <w:highlight w:val="green"/>
        </w:rPr>
        <w:t xml:space="preserve"> bereits weitere unabhängige </w:t>
      </w:r>
      <w:proofErr w:type="spellStart"/>
      <w:r w:rsidRPr="00F7385D">
        <w:rPr>
          <w:highlight w:val="green"/>
        </w:rPr>
        <w:t>Mobilfunkdiensteanbieter</w:t>
      </w:r>
      <w:proofErr w:type="spellEnd"/>
      <w:r w:rsidRPr="00F7385D">
        <w:rPr>
          <w:highlight w:val="green"/>
        </w:rPr>
        <w:t xml:space="preserve"> und MVNO einen nennenswerten Marktanteil erreicht. Dies ist allerdings nicht der Fall. Auch die </w:t>
      </w:r>
      <w:r w:rsidR="00C43050" w:rsidRPr="00F7385D">
        <w:rPr>
          <w:highlight w:val="green"/>
        </w:rPr>
        <w:t xml:space="preserve">Entwicklung des vierten Mobilfunknetzbetreibers widerlegt dies nicht, wurde diese Entwicklung doch zu wesentlichen Teilen erst durch die </w:t>
      </w:r>
      <w:proofErr w:type="spellStart"/>
      <w:r w:rsidR="00C43050" w:rsidRPr="00F7385D">
        <w:rPr>
          <w:highlight w:val="green"/>
        </w:rPr>
        <w:t>Mergerauflagen</w:t>
      </w:r>
      <w:proofErr w:type="spellEnd"/>
      <w:r w:rsidR="00C43050" w:rsidRPr="00F7385D">
        <w:rPr>
          <w:highlight w:val="green"/>
        </w:rPr>
        <w:t xml:space="preserve"> der Fusion E-Plus/Telefónica ermöglicht.“</w:t>
      </w:r>
    </w:p>
    <w:p w14:paraId="6183D1AE" w14:textId="77777777" w:rsidR="00C43050" w:rsidRDefault="00C43050" w:rsidP="00412FA2">
      <w:pPr>
        <w:ind w:left="708"/>
      </w:pPr>
    </w:p>
    <w:p w14:paraId="147704FF" w14:textId="34E9259A" w:rsidR="00C43050" w:rsidRPr="00F7385D" w:rsidRDefault="00C43050" w:rsidP="00412FA2">
      <w:pPr>
        <w:ind w:left="708"/>
        <w:rPr>
          <w:highlight w:val="green"/>
        </w:rPr>
      </w:pPr>
      <w:r w:rsidRPr="00F7385D">
        <w:rPr>
          <w:b/>
          <w:highlight w:val="green"/>
        </w:rPr>
        <w:t>Ziffer 4.2.1. („Welche weiteren Kennzahlen halten Sie für relevant zur Beurteilung der Wettbewerbssituation?“):</w:t>
      </w:r>
      <w:r w:rsidRPr="00F7385D">
        <w:rPr>
          <w:highlight w:val="green"/>
        </w:rPr>
        <w:t xml:space="preserve"> „Höchst problematisch ist aus unserer Sicht, dass die Bundesnetzagentur lediglich die Listenpreise der Marktteilnehmer erhebt. Es ist </w:t>
      </w:r>
      <w:r w:rsidRPr="00F7385D">
        <w:rPr>
          <w:highlight w:val="green"/>
        </w:rPr>
        <w:lastRenderedPageBreak/>
        <w:t>marktbekannt, dass insbesondere die Mobilfunknetzbetreiber von Endkunden niemals die Listenpreise verlangen. Vielmehr dienen die Listenpreise lediglich als „Streichpreise“, um die Dauerangebote der Mobilfunknetzbetreiber gegenüber Endkunden attraktiver erscheinen zu lassen.</w:t>
      </w:r>
    </w:p>
    <w:p w14:paraId="0E6CA8BE" w14:textId="77777777" w:rsidR="00C43050" w:rsidRPr="00F7385D" w:rsidRDefault="00C43050" w:rsidP="00412FA2">
      <w:pPr>
        <w:ind w:left="708"/>
        <w:rPr>
          <w:highlight w:val="green"/>
        </w:rPr>
      </w:pPr>
    </w:p>
    <w:p w14:paraId="7C30BEEC" w14:textId="4E7F7D0F" w:rsidR="00C43050" w:rsidRDefault="00C43050" w:rsidP="00412FA2">
      <w:pPr>
        <w:ind w:left="708"/>
      </w:pPr>
      <w:r w:rsidRPr="00F7385D">
        <w:rPr>
          <w:highlight w:val="green"/>
        </w:rPr>
        <w:t>Wenn Sie mithin ausschließlich Listenpreise abfragen, werden Sie auf dieser Grundlage kein belastbares Bild über den Zustand des Vorleistungswettbewerbs erhalten können.“</w:t>
      </w:r>
    </w:p>
    <w:p w14:paraId="2FAC7993" w14:textId="77777777" w:rsidR="00C43050" w:rsidRDefault="00C43050" w:rsidP="00412FA2">
      <w:pPr>
        <w:ind w:left="708"/>
      </w:pPr>
    </w:p>
    <w:p w14:paraId="2F88D2F4" w14:textId="20C59FCF" w:rsidR="00C43050" w:rsidRDefault="00C43050" w:rsidP="00412FA2">
      <w:pPr>
        <w:ind w:left="708"/>
      </w:pPr>
      <w:r w:rsidRPr="00F7385D">
        <w:rPr>
          <w:b/>
          <w:highlight w:val="yellow"/>
        </w:rPr>
        <w:t xml:space="preserve">Zeile 25 („Anmerkungen zu den Angaben dieser Seite“): </w:t>
      </w:r>
      <w:r w:rsidRPr="00F7385D">
        <w:rPr>
          <w:highlight w:val="yellow"/>
        </w:rPr>
        <w:t>Unternehmensindividuell auszufüllen, sofern zutreffend</w:t>
      </w:r>
    </w:p>
    <w:p w14:paraId="79EFD7D0" w14:textId="77777777" w:rsidR="00412FA2" w:rsidRDefault="00412FA2" w:rsidP="00412FA2">
      <w:pPr>
        <w:ind w:left="708"/>
        <w:rPr>
          <w:b/>
        </w:rPr>
      </w:pPr>
    </w:p>
    <w:p w14:paraId="4EF83D6D" w14:textId="77777777" w:rsidR="00412FA2" w:rsidRDefault="00412FA2" w:rsidP="00412FA2">
      <w:pPr>
        <w:ind w:left="708"/>
        <w:rPr>
          <w:b/>
        </w:rPr>
      </w:pPr>
    </w:p>
    <w:p w14:paraId="2137C38C" w14:textId="77777777" w:rsidR="00412FA2" w:rsidRPr="00412FA2" w:rsidRDefault="00412FA2" w:rsidP="00412FA2">
      <w:pPr>
        <w:ind w:left="708"/>
      </w:pPr>
    </w:p>
    <w:sectPr w:rsidR="00412FA2" w:rsidRPr="00412FA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B9EB0" w14:textId="77777777" w:rsidR="00C31807" w:rsidRDefault="00C31807" w:rsidP="00530727">
      <w:r>
        <w:separator/>
      </w:r>
    </w:p>
  </w:endnote>
  <w:endnote w:type="continuationSeparator" w:id="0">
    <w:p w14:paraId="3421F6DC" w14:textId="77777777" w:rsidR="00C31807" w:rsidRDefault="00C31807" w:rsidP="0053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4C2D5" w14:textId="77777777" w:rsidR="00C31807" w:rsidRDefault="00C31807" w:rsidP="00530727">
      <w:r>
        <w:separator/>
      </w:r>
    </w:p>
  </w:footnote>
  <w:footnote w:type="continuationSeparator" w:id="0">
    <w:p w14:paraId="019E418A" w14:textId="77777777" w:rsidR="00C31807" w:rsidRDefault="00C31807" w:rsidP="00530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A6B7F"/>
    <w:multiLevelType w:val="hybridMultilevel"/>
    <w:tmpl w:val="A4607704"/>
    <w:lvl w:ilvl="0" w:tplc="3AFC497C">
      <w:numFmt w:val="bullet"/>
      <w:lvlText w:val=""/>
      <w:lvlJc w:val="left"/>
      <w:pPr>
        <w:ind w:left="1778" w:hanging="360"/>
      </w:pPr>
      <w:rPr>
        <w:rFonts w:ascii="Wingdings" w:eastAsia="Times New Roman" w:hAnsi="Wingdings" w:cs="Calibri"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 w15:restartNumberingAfterBreak="0">
    <w:nsid w:val="6020685E"/>
    <w:multiLevelType w:val="hybridMultilevel"/>
    <w:tmpl w:val="B0C28A4A"/>
    <w:lvl w:ilvl="0" w:tplc="ECAE933A">
      <w:numFmt w:val="bullet"/>
      <w:lvlText w:val=""/>
      <w:lvlJc w:val="left"/>
      <w:pPr>
        <w:ind w:left="2138" w:hanging="360"/>
      </w:pPr>
      <w:rPr>
        <w:rFonts w:ascii="Symbol" w:eastAsia="Times New Roman" w:hAnsi="Symbol" w:cs="Calibri"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 w15:restartNumberingAfterBreak="0">
    <w:nsid w:val="6D936494"/>
    <w:multiLevelType w:val="hybridMultilevel"/>
    <w:tmpl w:val="238AD798"/>
    <w:lvl w:ilvl="0" w:tplc="6D827970">
      <w:numFmt w:val="bullet"/>
      <w:lvlText w:val=""/>
      <w:lvlJc w:val="left"/>
      <w:pPr>
        <w:ind w:left="2138" w:hanging="360"/>
      </w:pPr>
      <w:rPr>
        <w:rFonts w:ascii="Wingdings" w:eastAsia="Times New Roman" w:hAnsi="Wingdings" w:cs="Calibri"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num w:numId="1" w16cid:durableId="1331911049">
    <w:abstractNumId w:val="0"/>
  </w:num>
  <w:num w:numId="2" w16cid:durableId="1228801482">
    <w:abstractNumId w:val="2"/>
  </w:num>
  <w:num w:numId="3" w16cid:durableId="1975520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07D"/>
    <w:rsid w:val="000027BE"/>
    <w:rsid w:val="00035654"/>
    <w:rsid w:val="000616DC"/>
    <w:rsid w:val="00093202"/>
    <w:rsid w:val="00095AC5"/>
    <w:rsid w:val="000C2C63"/>
    <w:rsid w:val="000D795C"/>
    <w:rsid w:val="000F6F4B"/>
    <w:rsid w:val="0010187F"/>
    <w:rsid w:val="001019A8"/>
    <w:rsid w:val="00153B00"/>
    <w:rsid w:val="001811B8"/>
    <w:rsid w:val="00181313"/>
    <w:rsid w:val="00183CA9"/>
    <w:rsid w:val="001A0567"/>
    <w:rsid w:val="001A2D2F"/>
    <w:rsid w:val="001B2DF0"/>
    <w:rsid w:val="001B3319"/>
    <w:rsid w:val="001D0EF0"/>
    <w:rsid w:val="001E4EB5"/>
    <w:rsid w:val="001E5211"/>
    <w:rsid w:val="00215FD1"/>
    <w:rsid w:val="002C7F72"/>
    <w:rsid w:val="002E7A94"/>
    <w:rsid w:val="003157F5"/>
    <w:rsid w:val="003350BE"/>
    <w:rsid w:val="003751ED"/>
    <w:rsid w:val="0039442C"/>
    <w:rsid w:val="003A117B"/>
    <w:rsid w:val="003C7667"/>
    <w:rsid w:val="003E6435"/>
    <w:rsid w:val="003E6C4D"/>
    <w:rsid w:val="003F1A39"/>
    <w:rsid w:val="00410E59"/>
    <w:rsid w:val="00412FA2"/>
    <w:rsid w:val="0041473A"/>
    <w:rsid w:val="004546CF"/>
    <w:rsid w:val="004604B4"/>
    <w:rsid w:val="004673E8"/>
    <w:rsid w:val="00486F01"/>
    <w:rsid w:val="004E5E31"/>
    <w:rsid w:val="005169CE"/>
    <w:rsid w:val="00526694"/>
    <w:rsid w:val="00530727"/>
    <w:rsid w:val="00532344"/>
    <w:rsid w:val="005B578C"/>
    <w:rsid w:val="005C1647"/>
    <w:rsid w:val="005C518D"/>
    <w:rsid w:val="005D44EF"/>
    <w:rsid w:val="005F49FA"/>
    <w:rsid w:val="00647810"/>
    <w:rsid w:val="006859A4"/>
    <w:rsid w:val="006A0206"/>
    <w:rsid w:val="006B3211"/>
    <w:rsid w:val="006D1825"/>
    <w:rsid w:val="00712E8F"/>
    <w:rsid w:val="00735B30"/>
    <w:rsid w:val="00742403"/>
    <w:rsid w:val="00745047"/>
    <w:rsid w:val="00746112"/>
    <w:rsid w:val="0074741E"/>
    <w:rsid w:val="007516AC"/>
    <w:rsid w:val="0076222D"/>
    <w:rsid w:val="00770945"/>
    <w:rsid w:val="007813E1"/>
    <w:rsid w:val="00791485"/>
    <w:rsid w:val="00792A9D"/>
    <w:rsid w:val="007A5F1C"/>
    <w:rsid w:val="007A7B3C"/>
    <w:rsid w:val="007B72CE"/>
    <w:rsid w:val="007F3FDB"/>
    <w:rsid w:val="007F69CB"/>
    <w:rsid w:val="00801E5C"/>
    <w:rsid w:val="00820E3B"/>
    <w:rsid w:val="008247FB"/>
    <w:rsid w:val="00834A84"/>
    <w:rsid w:val="00841A2E"/>
    <w:rsid w:val="008555F6"/>
    <w:rsid w:val="00856BF7"/>
    <w:rsid w:val="008604EC"/>
    <w:rsid w:val="00900574"/>
    <w:rsid w:val="00901A28"/>
    <w:rsid w:val="00903C83"/>
    <w:rsid w:val="00917935"/>
    <w:rsid w:val="0093105A"/>
    <w:rsid w:val="00936B57"/>
    <w:rsid w:val="00967F8C"/>
    <w:rsid w:val="009751AE"/>
    <w:rsid w:val="0099007D"/>
    <w:rsid w:val="0099088B"/>
    <w:rsid w:val="00995257"/>
    <w:rsid w:val="009A0BF4"/>
    <w:rsid w:val="009A73AC"/>
    <w:rsid w:val="009E4662"/>
    <w:rsid w:val="009F661B"/>
    <w:rsid w:val="00A27B79"/>
    <w:rsid w:val="00A573BD"/>
    <w:rsid w:val="00A728AD"/>
    <w:rsid w:val="00AE4B12"/>
    <w:rsid w:val="00AF72C8"/>
    <w:rsid w:val="00B170AC"/>
    <w:rsid w:val="00B42C12"/>
    <w:rsid w:val="00B5550E"/>
    <w:rsid w:val="00B82F67"/>
    <w:rsid w:val="00B97980"/>
    <w:rsid w:val="00BA581F"/>
    <w:rsid w:val="00BD7777"/>
    <w:rsid w:val="00C31807"/>
    <w:rsid w:val="00C37F4D"/>
    <w:rsid w:val="00C43050"/>
    <w:rsid w:val="00C5072F"/>
    <w:rsid w:val="00C55B22"/>
    <w:rsid w:val="00C635BF"/>
    <w:rsid w:val="00CA123F"/>
    <w:rsid w:val="00CD32B1"/>
    <w:rsid w:val="00CE09AA"/>
    <w:rsid w:val="00D06586"/>
    <w:rsid w:val="00D21684"/>
    <w:rsid w:val="00D25E05"/>
    <w:rsid w:val="00D3004B"/>
    <w:rsid w:val="00D60BE3"/>
    <w:rsid w:val="00D748D9"/>
    <w:rsid w:val="00D85CCD"/>
    <w:rsid w:val="00D87F2A"/>
    <w:rsid w:val="00DA1489"/>
    <w:rsid w:val="00DB5D4A"/>
    <w:rsid w:val="00DC0857"/>
    <w:rsid w:val="00E0147A"/>
    <w:rsid w:val="00E12AB6"/>
    <w:rsid w:val="00E27475"/>
    <w:rsid w:val="00E3210C"/>
    <w:rsid w:val="00E47BEA"/>
    <w:rsid w:val="00E833EF"/>
    <w:rsid w:val="00EB23ED"/>
    <w:rsid w:val="00ED128F"/>
    <w:rsid w:val="00ED1959"/>
    <w:rsid w:val="00ED37C5"/>
    <w:rsid w:val="00ED4DEC"/>
    <w:rsid w:val="00EE6CA8"/>
    <w:rsid w:val="00EF42B8"/>
    <w:rsid w:val="00EF5E32"/>
    <w:rsid w:val="00EF6630"/>
    <w:rsid w:val="00F7385D"/>
    <w:rsid w:val="00FA1504"/>
    <w:rsid w:val="00FD05F9"/>
    <w:rsid w:val="00FD0BC3"/>
    <w:rsid w:val="00FD32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D46E4"/>
  <w15:chartTrackingRefBased/>
  <w15:docId w15:val="{6C830145-756E-4F68-AA81-50B5EEC26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442C"/>
    <w:pPr>
      <w:spacing w:after="0" w:line="240" w:lineRule="auto"/>
    </w:pPr>
    <w:rPr>
      <w:rFonts w:ascii="Calibri" w:hAnsi="Calibri" w:cs="Calibri"/>
      <w:sz w:val="24"/>
      <w:szCs w:val="20"/>
      <w:lang w:eastAsia="de-DE"/>
    </w:rPr>
  </w:style>
  <w:style w:type="paragraph" w:styleId="berschrift1">
    <w:name w:val="heading 1"/>
    <w:basedOn w:val="Standard"/>
    <w:next w:val="Standard"/>
    <w:link w:val="berschrift1Zchn"/>
    <w:qFormat/>
    <w:rsid w:val="0039442C"/>
    <w:pPr>
      <w:keepNext/>
      <w:outlineLvl w:val="0"/>
    </w:pPr>
    <w:rPr>
      <w:rFonts w:ascii="Calibri bold" w:hAnsi="Calibri bold"/>
      <w:sz w:val="28"/>
    </w:rPr>
  </w:style>
  <w:style w:type="paragraph" w:styleId="berschrift2">
    <w:name w:val="heading 2"/>
    <w:basedOn w:val="Standard"/>
    <w:next w:val="Standard"/>
    <w:link w:val="berschrift2Zchn"/>
    <w:qFormat/>
    <w:rsid w:val="0039442C"/>
    <w:pPr>
      <w:keepNext/>
      <w:spacing w:before="120"/>
      <w:outlineLvl w:val="1"/>
    </w:pPr>
    <w:rPr>
      <w:rFonts w:ascii="Calibri bold" w:hAnsi="Calibri bold"/>
      <w:sz w:val="48"/>
    </w:rPr>
  </w:style>
  <w:style w:type="paragraph" w:styleId="berschrift3">
    <w:name w:val="heading 3"/>
    <w:basedOn w:val="Standard"/>
    <w:next w:val="Standard"/>
    <w:link w:val="berschrift3Zchn"/>
    <w:semiHidden/>
    <w:unhideWhenUsed/>
    <w:qFormat/>
    <w:rsid w:val="0039442C"/>
    <w:pPr>
      <w:keepNext/>
      <w:keepLines/>
      <w:spacing w:before="200"/>
      <w:outlineLvl w:val="2"/>
    </w:pPr>
    <w:rPr>
      <w:rFonts w:ascii="Calibri bold" w:eastAsiaTheme="majorEastAsia" w:hAnsi="Calibri bold" w:cstheme="majorBidi"/>
      <w:bCs/>
      <w:color w:val="156082" w:themeColor="accent1"/>
    </w:rPr>
  </w:style>
  <w:style w:type="paragraph" w:styleId="berschrift4">
    <w:name w:val="heading 4"/>
    <w:basedOn w:val="Standard"/>
    <w:next w:val="Standard"/>
    <w:link w:val="berschrift4Zchn"/>
    <w:uiPriority w:val="9"/>
    <w:semiHidden/>
    <w:unhideWhenUsed/>
    <w:qFormat/>
    <w:rsid w:val="009900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9007D"/>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99007D"/>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9007D"/>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9007D"/>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9007D"/>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37F4D"/>
    <w:rPr>
      <w:rFonts w:ascii="Calibri bold" w:eastAsia="Times New Roman" w:hAnsi="Calibri bold" w:cs="Calibri"/>
      <w:sz w:val="28"/>
      <w:szCs w:val="20"/>
      <w:lang w:eastAsia="de-DE"/>
    </w:rPr>
  </w:style>
  <w:style w:type="character" w:customStyle="1" w:styleId="berschrift2Zchn">
    <w:name w:val="Überschrift 2 Zchn"/>
    <w:basedOn w:val="Absatz-Standardschriftart"/>
    <w:link w:val="berschrift2"/>
    <w:rsid w:val="00C37F4D"/>
    <w:rPr>
      <w:rFonts w:ascii="Calibri bold" w:eastAsia="Times New Roman" w:hAnsi="Calibri bold" w:cs="Calibri"/>
      <w:sz w:val="48"/>
      <w:szCs w:val="20"/>
      <w:lang w:eastAsia="de-DE"/>
    </w:rPr>
  </w:style>
  <w:style w:type="character" w:customStyle="1" w:styleId="berschrift3Zchn">
    <w:name w:val="Überschrift 3 Zchn"/>
    <w:basedOn w:val="Absatz-Standardschriftart"/>
    <w:link w:val="berschrift3"/>
    <w:semiHidden/>
    <w:rsid w:val="0039442C"/>
    <w:rPr>
      <w:rFonts w:ascii="Calibri bold" w:eastAsiaTheme="majorEastAsia" w:hAnsi="Calibri bold" w:cstheme="majorBidi"/>
      <w:bCs/>
      <w:color w:val="156082" w:themeColor="accent1"/>
      <w:sz w:val="24"/>
      <w:szCs w:val="20"/>
      <w:lang w:eastAsia="de-DE"/>
    </w:rPr>
  </w:style>
  <w:style w:type="character" w:customStyle="1" w:styleId="berschrift4Zchn">
    <w:name w:val="Überschrift 4 Zchn"/>
    <w:basedOn w:val="Absatz-Standardschriftart"/>
    <w:link w:val="berschrift4"/>
    <w:uiPriority w:val="9"/>
    <w:semiHidden/>
    <w:rsid w:val="0099007D"/>
    <w:rPr>
      <w:rFonts w:eastAsiaTheme="majorEastAsia" w:cstheme="majorBidi"/>
      <w:i/>
      <w:iCs/>
      <w:color w:val="0F4761" w:themeColor="accent1" w:themeShade="BF"/>
      <w:sz w:val="24"/>
      <w:szCs w:val="20"/>
      <w:lang w:eastAsia="de-DE"/>
    </w:rPr>
  </w:style>
  <w:style w:type="character" w:customStyle="1" w:styleId="berschrift5Zchn">
    <w:name w:val="Überschrift 5 Zchn"/>
    <w:basedOn w:val="Absatz-Standardschriftart"/>
    <w:link w:val="berschrift5"/>
    <w:uiPriority w:val="9"/>
    <w:semiHidden/>
    <w:rsid w:val="0099007D"/>
    <w:rPr>
      <w:rFonts w:eastAsiaTheme="majorEastAsia" w:cstheme="majorBidi"/>
      <w:color w:val="0F4761" w:themeColor="accent1" w:themeShade="BF"/>
      <w:sz w:val="24"/>
      <w:szCs w:val="20"/>
      <w:lang w:eastAsia="de-DE"/>
    </w:rPr>
  </w:style>
  <w:style w:type="character" w:customStyle="1" w:styleId="berschrift6Zchn">
    <w:name w:val="Überschrift 6 Zchn"/>
    <w:basedOn w:val="Absatz-Standardschriftart"/>
    <w:link w:val="berschrift6"/>
    <w:uiPriority w:val="9"/>
    <w:semiHidden/>
    <w:rsid w:val="0099007D"/>
    <w:rPr>
      <w:rFonts w:eastAsiaTheme="majorEastAsia" w:cstheme="majorBidi"/>
      <w:i/>
      <w:iCs/>
      <w:color w:val="595959" w:themeColor="text1" w:themeTint="A6"/>
      <w:sz w:val="24"/>
      <w:szCs w:val="20"/>
      <w:lang w:eastAsia="de-DE"/>
    </w:rPr>
  </w:style>
  <w:style w:type="character" w:customStyle="1" w:styleId="berschrift7Zchn">
    <w:name w:val="Überschrift 7 Zchn"/>
    <w:basedOn w:val="Absatz-Standardschriftart"/>
    <w:link w:val="berschrift7"/>
    <w:uiPriority w:val="9"/>
    <w:semiHidden/>
    <w:rsid w:val="0099007D"/>
    <w:rPr>
      <w:rFonts w:eastAsiaTheme="majorEastAsia" w:cstheme="majorBidi"/>
      <w:color w:val="595959" w:themeColor="text1" w:themeTint="A6"/>
      <w:sz w:val="24"/>
      <w:szCs w:val="20"/>
      <w:lang w:eastAsia="de-DE"/>
    </w:rPr>
  </w:style>
  <w:style w:type="character" w:customStyle="1" w:styleId="berschrift8Zchn">
    <w:name w:val="Überschrift 8 Zchn"/>
    <w:basedOn w:val="Absatz-Standardschriftart"/>
    <w:link w:val="berschrift8"/>
    <w:uiPriority w:val="9"/>
    <w:semiHidden/>
    <w:rsid w:val="0099007D"/>
    <w:rPr>
      <w:rFonts w:eastAsiaTheme="majorEastAsia" w:cstheme="majorBidi"/>
      <w:i/>
      <w:iCs/>
      <w:color w:val="272727" w:themeColor="text1" w:themeTint="D8"/>
      <w:sz w:val="24"/>
      <w:szCs w:val="20"/>
      <w:lang w:eastAsia="de-DE"/>
    </w:rPr>
  </w:style>
  <w:style w:type="character" w:customStyle="1" w:styleId="berschrift9Zchn">
    <w:name w:val="Überschrift 9 Zchn"/>
    <w:basedOn w:val="Absatz-Standardschriftart"/>
    <w:link w:val="berschrift9"/>
    <w:uiPriority w:val="9"/>
    <w:semiHidden/>
    <w:rsid w:val="0099007D"/>
    <w:rPr>
      <w:rFonts w:eastAsiaTheme="majorEastAsia" w:cstheme="majorBidi"/>
      <w:color w:val="272727" w:themeColor="text1" w:themeTint="D8"/>
      <w:sz w:val="24"/>
      <w:szCs w:val="20"/>
      <w:lang w:eastAsia="de-DE"/>
    </w:rPr>
  </w:style>
  <w:style w:type="paragraph" w:styleId="Titel">
    <w:name w:val="Title"/>
    <w:basedOn w:val="Standard"/>
    <w:next w:val="Standard"/>
    <w:link w:val="TitelZchn"/>
    <w:uiPriority w:val="10"/>
    <w:qFormat/>
    <w:rsid w:val="0099007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9007D"/>
    <w:rPr>
      <w:rFonts w:asciiTheme="majorHAnsi" w:eastAsiaTheme="majorEastAsia" w:hAnsiTheme="majorHAnsi" w:cstheme="majorBidi"/>
      <w:spacing w:val="-10"/>
      <w:kern w:val="28"/>
      <w:sz w:val="56"/>
      <w:szCs w:val="56"/>
      <w:lang w:eastAsia="de-DE"/>
    </w:rPr>
  </w:style>
  <w:style w:type="paragraph" w:styleId="Untertitel">
    <w:name w:val="Subtitle"/>
    <w:basedOn w:val="Standard"/>
    <w:next w:val="Standard"/>
    <w:link w:val="UntertitelZchn"/>
    <w:uiPriority w:val="11"/>
    <w:qFormat/>
    <w:rsid w:val="0099007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9007D"/>
    <w:rPr>
      <w:rFonts w:eastAsiaTheme="majorEastAsia" w:cstheme="majorBidi"/>
      <w:color w:val="595959" w:themeColor="text1" w:themeTint="A6"/>
      <w:spacing w:val="15"/>
      <w:sz w:val="28"/>
      <w:szCs w:val="28"/>
      <w:lang w:eastAsia="de-DE"/>
    </w:rPr>
  </w:style>
  <w:style w:type="paragraph" w:styleId="Zitat">
    <w:name w:val="Quote"/>
    <w:basedOn w:val="Standard"/>
    <w:next w:val="Standard"/>
    <w:link w:val="ZitatZchn"/>
    <w:uiPriority w:val="29"/>
    <w:qFormat/>
    <w:rsid w:val="0099007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9007D"/>
    <w:rPr>
      <w:rFonts w:ascii="Calibri" w:hAnsi="Calibri" w:cs="Calibri"/>
      <w:i/>
      <w:iCs/>
      <w:color w:val="404040" w:themeColor="text1" w:themeTint="BF"/>
      <w:sz w:val="24"/>
      <w:szCs w:val="20"/>
      <w:lang w:eastAsia="de-DE"/>
    </w:rPr>
  </w:style>
  <w:style w:type="paragraph" w:styleId="Listenabsatz">
    <w:name w:val="List Paragraph"/>
    <w:basedOn w:val="Standard"/>
    <w:uiPriority w:val="34"/>
    <w:qFormat/>
    <w:rsid w:val="0099007D"/>
    <w:pPr>
      <w:ind w:left="720"/>
      <w:contextualSpacing/>
    </w:pPr>
  </w:style>
  <w:style w:type="character" w:styleId="IntensiveHervorhebung">
    <w:name w:val="Intense Emphasis"/>
    <w:basedOn w:val="Absatz-Standardschriftart"/>
    <w:uiPriority w:val="21"/>
    <w:qFormat/>
    <w:rsid w:val="0099007D"/>
    <w:rPr>
      <w:i/>
      <w:iCs/>
      <w:color w:val="0F4761" w:themeColor="accent1" w:themeShade="BF"/>
    </w:rPr>
  </w:style>
  <w:style w:type="paragraph" w:styleId="IntensivesZitat">
    <w:name w:val="Intense Quote"/>
    <w:basedOn w:val="Standard"/>
    <w:next w:val="Standard"/>
    <w:link w:val="IntensivesZitatZchn"/>
    <w:uiPriority w:val="30"/>
    <w:qFormat/>
    <w:rsid w:val="00990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9007D"/>
    <w:rPr>
      <w:rFonts w:ascii="Calibri" w:hAnsi="Calibri" w:cs="Calibri"/>
      <w:i/>
      <w:iCs/>
      <w:color w:val="0F4761" w:themeColor="accent1" w:themeShade="BF"/>
      <w:sz w:val="24"/>
      <w:szCs w:val="20"/>
      <w:lang w:eastAsia="de-DE"/>
    </w:rPr>
  </w:style>
  <w:style w:type="character" w:styleId="IntensiverVerweis">
    <w:name w:val="Intense Reference"/>
    <w:basedOn w:val="Absatz-Standardschriftart"/>
    <w:uiPriority w:val="32"/>
    <w:qFormat/>
    <w:rsid w:val="0099007D"/>
    <w:rPr>
      <w:b/>
      <w:bCs/>
      <w:smallCaps/>
      <w:color w:val="0F4761" w:themeColor="accent1" w:themeShade="BF"/>
      <w:spacing w:val="5"/>
    </w:rPr>
  </w:style>
  <w:style w:type="paragraph" w:styleId="Kopfzeile">
    <w:name w:val="header"/>
    <w:basedOn w:val="Standard"/>
    <w:link w:val="KopfzeileZchn"/>
    <w:uiPriority w:val="99"/>
    <w:unhideWhenUsed/>
    <w:rsid w:val="00530727"/>
    <w:pPr>
      <w:tabs>
        <w:tab w:val="center" w:pos="4536"/>
        <w:tab w:val="right" w:pos="9072"/>
      </w:tabs>
    </w:pPr>
  </w:style>
  <w:style w:type="character" w:customStyle="1" w:styleId="KopfzeileZchn">
    <w:name w:val="Kopfzeile Zchn"/>
    <w:basedOn w:val="Absatz-Standardschriftart"/>
    <w:link w:val="Kopfzeile"/>
    <w:uiPriority w:val="99"/>
    <w:rsid w:val="00530727"/>
    <w:rPr>
      <w:rFonts w:ascii="Calibri" w:hAnsi="Calibri" w:cs="Calibri"/>
      <w:sz w:val="24"/>
      <w:szCs w:val="20"/>
      <w:lang w:eastAsia="de-DE"/>
    </w:rPr>
  </w:style>
  <w:style w:type="paragraph" w:styleId="Fuzeile">
    <w:name w:val="footer"/>
    <w:basedOn w:val="Standard"/>
    <w:link w:val="FuzeileZchn"/>
    <w:uiPriority w:val="99"/>
    <w:unhideWhenUsed/>
    <w:rsid w:val="00530727"/>
    <w:pPr>
      <w:tabs>
        <w:tab w:val="center" w:pos="4536"/>
        <w:tab w:val="right" w:pos="9072"/>
      </w:tabs>
    </w:pPr>
  </w:style>
  <w:style w:type="character" w:customStyle="1" w:styleId="FuzeileZchn">
    <w:name w:val="Fußzeile Zchn"/>
    <w:basedOn w:val="Absatz-Standardschriftart"/>
    <w:link w:val="Fuzeile"/>
    <w:uiPriority w:val="99"/>
    <w:rsid w:val="00530727"/>
    <w:rPr>
      <w:rFonts w:ascii="Calibri" w:hAnsi="Calibri" w:cs="Calibri"/>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1936</Words>
  <Characters>12198</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Sven Knapp</cp:lastModifiedBy>
  <cp:revision>2</cp:revision>
  <dcterms:created xsi:type="dcterms:W3CDTF">2026-07-01T10:39:00Z</dcterms:created>
  <dcterms:modified xsi:type="dcterms:W3CDTF">2026-07-01T10:39:00Z</dcterms:modified>
</cp:coreProperties>
</file>